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F3" w:rsidRPr="007A1F59" w:rsidRDefault="00AE11F3" w:rsidP="00AE1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eastAsia="Calibri"/>
          <w:sz w:val="24"/>
          <w:szCs w:val="24"/>
        </w:rPr>
      </w:pPr>
      <w:r w:rsidRPr="007A1F59">
        <w:rPr>
          <w:rFonts w:eastAsia="Calibri"/>
          <w:sz w:val="24"/>
          <w:szCs w:val="24"/>
        </w:rPr>
        <w:t>Selezione pubblica, per titoli e prova-colloquio, per l’assunzione, con contratto a tempo determinato, di n. 1 unità di personale con il profilo di Collaboratore tecnico enti di ricerca – VI livello professionale dell’Istituto Superiore di Sanità – per far fronte alle esigenze previste dal progetto: “</w:t>
      </w:r>
      <w:proofErr w:type="spellStart"/>
      <w:r w:rsidRPr="007A1F59">
        <w:rPr>
          <w:rFonts w:eastAsia="Calibri"/>
          <w:sz w:val="24"/>
          <w:szCs w:val="24"/>
        </w:rPr>
        <w:t>R.I.Pr.E.I</w:t>
      </w:r>
      <w:proofErr w:type="spellEnd"/>
      <w:r w:rsidRPr="007A1F59">
        <w:rPr>
          <w:rFonts w:eastAsia="Calibri"/>
          <w:sz w:val="24"/>
          <w:szCs w:val="24"/>
        </w:rPr>
        <w:t>..” nell’ambito dell’area progettuale: “</w:t>
      </w:r>
      <w:r w:rsidRPr="00F07299">
        <w:rPr>
          <w:rFonts w:eastAsia="Calibri"/>
          <w:i/>
          <w:sz w:val="24"/>
          <w:szCs w:val="24"/>
        </w:rPr>
        <w:t xml:space="preserve">Attività di studi e ricerca sulle malattie provocate da agenti infettivi, promozione della ricerca </w:t>
      </w:r>
      <w:proofErr w:type="spellStart"/>
      <w:r w:rsidRPr="00F07299">
        <w:rPr>
          <w:rFonts w:eastAsia="Calibri"/>
          <w:i/>
          <w:sz w:val="24"/>
          <w:szCs w:val="24"/>
        </w:rPr>
        <w:t>evidence-based</w:t>
      </w:r>
      <w:proofErr w:type="spellEnd"/>
      <w:r w:rsidRPr="00F07299">
        <w:rPr>
          <w:rFonts w:eastAsia="Calibri"/>
          <w:i/>
          <w:sz w:val="24"/>
          <w:szCs w:val="24"/>
        </w:rPr>
        <w:t xml:space="preserve"> sui patogeni, sulle risposte dell’ospite umano all’infezione e sulle terapie; attività di controllo, diagnosi, consulenza, sorveglianza e conferma diagnostica</w:t>
      </w:r>
      <w:r w:rsidRPr="007A1F59">
        <w:rPr>
          <w:rFonts w:eastAsia="Calibri"/>
          <w:sz w:val="24"/>
          <w:szCs w:val="24"/>
        </w:rPr>
        <w:t xml:space="preserve">” presso il </w:t>
      </w:r>
      <w:r w:rsidRPr="00F07299">
        <w:rPr>
          <w:rFonts w:eastAsia="Calibri"/>
          <w:b/>
          <w:sz w:val="24"/>
          <w:szCs w:val="24"/>
        </w:rPr>
        <w:t>Dipartimento di Malattie Infettive</w:t>
      </w:r>
      <w:r w:rsidRPr="007A1F59">
        <w:rPr>
          <w:rFonts w:eastAsia="Calibri"/>
          <w:sz w:val="24"/>
          <w:szCs w:val="24"/>
        </w:rPr>
        <w:t xml:space="preserve"> – Area amministrativa (durata del contratto: ventiquattro mesi) – codice concorso: </w:t>
      </w:r>
      <w:r w:rsidRPr="00F07299">
        <w:rPr>
          <w:rFonts w:eastAsia="Calibri"/>
          <w:b/>
          <w:sz w:val="24"/>
          <w:szCs w:val="24"/>
        </w:rPr>
        <w:t>TD CTER DMI 2023 03</w:t>
      </w:r>
    </w:p>
    <w:p w:rsidR="00797A5D" w:rsidRDefault="00AE11F3" w:rsidP="00AE11F3">
      <w:pPr>
        <w:rPr>
          <w:rFonts w:eastAsia="Calibri"/>
          <w:b/>
          <w:sz w:val="24"/>
          <w:szCs w:val="24"/>
        </w:rPr>
      </w:pPr>
    </w:p>
    <w:p w:rsidR="00AE11F3" w:rsidRPr="00AE11F3" w:rsidRDefault="00AE11F3" w:rsidP="00AE11F3">
      <w:pPr>
        <w:jc w:val="center"/>
        <w:rPr>
          <w:smallCaps/>
          <w:sz w:val="24"/>
          <w:szCs w:val="24"/>
        </w:rPr>
      </w:pPr>
      <w:r w:rsidRPr="00AE11F3">
        <w:rPr>
          <w:smallCaps/>
          <w:sz w:val="24"/>
          <w:szCs w:val="24"/>
        </w:rPr>
        <w:t>Criteri valutazione titoli</w:t>
      </w:r>
    </w:p>
    <w:p w:rsidR="00AE11F3" w:rsidRDefault="00AE11F3" w:rsidP="00AE11F3">
      <w:pPr>
        <w:rPr>
          <w:rFonts w:eastAsia="Calibri"/>
          <w:b/>
          <w:sz w:val="24"/>
          <w:szCs w:val="24"/>
        </w:rPr>
      </w:pPr>
    </w:p>
    <w:p w:rsidR="00AE11F3" w:rsidRDefault="00AE11F3" w:rsidP="00AE11F3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Ctg</w:t>
      </w:r>
      <w:proofErr w:type="spellEnd"/>
      <w:r>
        <w:rPr>
          <w:b/>
          <w:sz w:val="24"/>
          <w:szCs w:val="24"/>
        </w:rPr>
        <w:t>. 1)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Servizi ed Attività prestati presso Istituzioni di Ricerca nel settore della Sanità Pubblica </w:t>
      </w:r>
      <w:r w:rsidRPr="00F55C62">
        <w:rPr>
          <w:sz w:val="24"/>
          <w:szCs w:val="24"/>
        </w:rPr>
        <w:t xml:space="preserve">fino a punti </w:t>
      </w:r>
      <w:r w:rsidRPr="003003FB">
        <w:rPr>
          <w:b/>
          <w:sz w:val="24"/>
          <w:szCs w:val="24"/>
        </w:rPr>
        <w:t>21,00</w:t>
      </w:r>
    </w:p>
    <w:p w:rsidR="00AE11F3" w:rsidRDefault="00AE11F3" w:rsidP="00AE11F3">
      <w:pPr>
        <w:spacing w:line="360" w:lineRule="auto"/>
        <w:jc w:val="both"/>
        <w:rPr>
          <w:sz w:val="24"/>
          <w:szCs w:val="24"/>
        </w:rPr>
      </w:pPr>
      <w:r w:rsidRPr="00F55C62">
        <w:rPr>
          <w:i/>
          <w:sz w:val="24"/>
          <w:szCs w:val="24"/>
        </w:rPr>
        <w:t xml:space="preserve">Saranno attribuiti punti </w:t>
      </w:r>
      <w:r>
        <w:rPr>
          <w:i/>
          <w:sz w:val="24"/>
          <w:szCs w:val="24"/>
        </w:rPr>
        <w:t>3</w:t>
      </w:r>
      <w:r w:rsidRPr="00F55C62">
        <w:rPr>
          <w:i/>
          <w:sz w:val="24"/>
          <w:szCs w:val="24"/>
        </w:rPr>
        <w:t>,00 per anno o frazione di anno superiore a sei mesi</w:t>
      </w:r>
      <w:r>
        <w:rPr>
          <w:sz w:val="24"/>
          <w:szCs w:val="24"/>
        </w:rPr>
        <w:t>.</w:t>
      </w:r>
    </w:p>
    <w:p w:rsidR="00AE11F3" w:rsidRDefault="00AE11F3" w:rsidP="00AE11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tale categoria, la Commissione valuterà i servizi prestati e le attività di ruolo a tempo indeterminato, a tempo determinato, Co.co.co, prestazioni occasionali.</w:t>
      </w:r>
    </w:p>
    <w:p w:rsidR="00AE11F3" w:rsidRDefault="00AE11F3" w:rsidP="00AE11F3">
      <w:pPr>
        <w:spacing w:line="360" w:lineRule="auto"/>
        <w:jc w:val="both"/>
        <w:rPr>
          <w:sz w:val="24"/>
          <w:szCs w:val="24"/>
        </w:rPr>
      </w:pPr>
    </w:p>
    <w:p w:rsidR="00AE11F3" w:rsidRDefault="00AE11F3" w:rsidP="00AE11F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Ctg.2) </w:t>
      </w:r>
      <w:r>
        <w:rPr>
          <w:b/>
          <w:sz w:val="22"/>
          <w:szCs w:val="22"/>
        </w:rPr>
        <w:t xml:space="preserve">Pubblicazioni e/o Attività Tecnico – Scientifiche </w:t>
      </w:r>
      <w:r w:rsidRPr="00F55C62">
        <w:rPr>
          <w:sz w:val="24"/>
        </w:rPr>
        <w:t>fino a punti</w:t>
      </w:r>
      <w:r>
        <w:rPr>
          <w:b/>
          <w:sz w:val="24"/>
        </w:rPr>
        <w:t xml:space="preserve"> 7,00 </w:t>
      </w:r>
    </w:p>
    <w:p w:rsidR="00AE11F3" w:rsidRDefault="00AE11F3" w:rsidP="00AE11F3">
      <w:pPr>
        <w:spacing w:line="360" w:lineRule="auto"/>
        <w:jc w:val="both"/>
        <w:rPr>
          <w:b/>
          <w:sz w:val="24"/>
        </w:rPr>
      </w:pPr>
      <w:r w:rsidRPr="00EB3A11">
        <w:rPr>
          <w:sz w:val="24"/>
        </w:rPr>
        <w:t xml:space="preserve">Punteggio massimo attribuibile a </w:t>
      </w:r>
      <w:r>
        <w:rPr>
          <w:sz w:val="24"/>
        </w:rPr>
        <w:t xml:space="preserve">ciascun titolo: fino a </w:t>
      </w:r>
      <w:r w:rsidRPr="00EB3A11">
        <w:rPr>
          <w:sz w:val="24"/>
        </w:rPr>
        <w:t>punti</w:t>
      </w:r>
      <w:r>
        <w:rPr>
          <w:b/>
          <w:sz w:val="24"/>
        </w:rPr>
        <w:t xml:space="preserve"> </w:t>
      </w:r>
      <w:r w:rsidRPr="00EB3A11">
        <w:rPr>
          <w:b/>
          <w:i/>
          <w:sz w:val="24"/>
        </w:rPr>
        <w:t>0,50</w:t>
      </w:r>
      <w:r>
        <w:rPr>
          <w:b/>
          <w:sz w:val="24"/>
        </w:rPr>
        <w:t xml:space="preserve"> </w:t>
      </w:r>
    </w:p>
    <w:p w:rsidR="00AE11F3" w:rsidRDefault="00AE11F3" w:rsidP="00AE11F3">
      <w:pPr>
        <w:spacing w:line="360" w:lineRule="auto"/>
        <w:jc w:val="both"/>
        <w:rPr>
          <w:sz w:val="24"/>
        </w:rPr>
      </w:pPr>
      <w:r>
        <w:rPr>
          <w:sz w:val="24"/>
        </w:rPr>
        <w:t>La Commissione decide di valutare in questa categoria solo le pubblicazioni e le attività tecnico scientifiche attinenti all’esperienza richiesta nel Bando.</w:t>
      </w:r>
    </w:p>
    <w:p w:rsidR="00AE11F3" w:rsidRDefault="00AE11F3" w:rsidP="00AE11F3">
      <w:pPr>
        <w:spacing w:line="360" w:lineRule="auto"/>
        <w:jc w:val="both"/>
        <w:rPr>
          <w:sz w:val="24"/>
        </w:rPr>
      </w:pPr>
    </w:p>
    <w:p w:rsidR="00AE11F3" w:rsidRDefault="00AE11F3" w:rsidP="00AE11F3">
      <w:pPr>
        <w:spacing w:line="360" w:lineRule="auto"/>
        <w:jc w:val="both"/>
        <w:rPr>
          <w:b/>
          <w:sz w:val="24"/>
        </w:rPr>
      </w:pPr>
      <w:proofErr w:type="spellStart"/>
      <w:r>
        <w:rPr>
          <w:b/>
          <w:sz w:val="24"/>
        </w:rPr>
        <w:t>Ctg</w:t>
      </w:r>
      <w:proofErr w:type="spellEnd"/>
      <w:r>
        <w:rPr>
          <w:b/>
          <w:sz w:val="24"/>
        </w:rPr>
        <w:t xml:space="preserve">. 3) </w:t>
      </w:r>
      <w:r>
        <w:rPr>
          <w:b/>
          <w:sz w:val="22"/>
          <w:szCs w:val="22"/>
        </w:rPr>
        <w:t>Specializzazioni, Borse di Studio, Dottorati di Ricerca, Partecipazione a Corsi di formazione, Vincite o Idoneità in Pubbliche Selezioni o Concorsi ed Altri Titoli Culturali e Professionali -</w:t>
      </w:r>
      <w:r>
        <w:rPr>
          <w:b/>
          <w:sz w:val="24"/>
        </w:rPr>
        <w:t xml:space="preserve"> </w:t>
      </w:r>
      <w:r w:rsidRPr="00EB3A11">
        <w:rPr>
          <w:sz w:val="24"/>
        </w:rPr>
        <w:t>fino a</w:t>
      </w:r>
      <w:r>
        <w:rPr>
          <w:b/>
          <w:sz w:val="24"/>
        </w:rPr>
        <w:t xml:space="preserve"> </w:t>
      </w:r>
      <w:r w:rsidRPr="00EB3A11">
        <w:rPr>
          <w:sz w:val="24"/>
        </w:rPr>
        <w:t>punti</w:t>
      </w:r>
      <w:r>
        <w:rPr>
          <w:b/>
          <w:sz w:val="24"/>
        </w:rPr>
        <w:t xml:space="preserve"> 2,00 </w:t>
      </w:r>
    </w:p>
    <w:p w:rsidR="00AE11F3" w:rsidRDefault="00AE11F3" w:rsidP="00AE11F3">
      <w:pPr>
        <w:spacing w:line="360" w:lineRule="auto"/>
        <w:jc w:val="both"/>
        <w:rPr>
          <w:b/>
          <w:sz w:val="24"/>
        </w:rPr>
      </w:pPr>
      <w:r w:rsidRPr="00EB3A11">
        <w:rPr>
          <w:sz w:val="24"/>
        </w:rPr>
        <w:t>Punteggio massimo attribuibile a ciascun titolo punti</w:t>
      </w:r>
      <w:r>
        <w:rPr>
          <w:b/>
          <w:sz w:val="24"/>
        </w:rPr>
        <w:t xml:space="preserve"> </w:t>
      </w:r>
      <w:r w:rsidRPr="00EB3A11">
        <w:rPr>
          <w:b/>
          <w:i/>
          <w:sz w:val="24"/>
        </w:rPr>
        <w:t>0,50</w:t>
      </w:r>
      <w:r>
        <w:rPr>
          <w:b/>
          <w:sz w:val="24"/>
        </w:rPr>
        <w:t xml:space="preserve"> </w:t>
      </w:r>
    </w:p>
    <w:p w:rsidR="00AE11F3" w:rsidRDefault="00AE11F3" w:rsidP="00AE11F3">
      <w:pPr>
        <w:spacing w:line="360" w:lineRule="auto"/>
        <w:jc w:val="both"/>
        <w:rPr>
          <w:b/>
          <w:sz w:val="24"/>
        </w:rPr>
      </w:pPr>
    </w:p>
    <w:p w:rsidR="00AE11F3" w:rsidRPr="00AE11F3" w:rsidRDefault="00AE11F3" w:rsidP="00AE11F3">
      <w:pPr>
        <w:spacing w:before="360" w:after="240"/>
        <w:jc w:val="center"/>
        <w:rPr>
          <w:smallCaps/>
          <w:sz w:val="24"/>
          <w:szCs w:val="24"/>
        </w:rPr>
      </w:pPr>
      <w:r w:rsidRPr="00AE11F3">
        <w:rPr>
          <w:smallCaps/>
          <w:sz w:val="24"/>
          <w:szCs w:val="24"/>
        </w:rPr>
        <w:t>criteri e modalità di valutazione della prova</w:t>
      </w:r>
      <w:bookmarkStart w:id="0" w:name="_GoBack"/>
      <w:bookmarkEnd w:id="0"/>
      <w:r w:rsidRPr="00AE11F3">
        <w:rPr>
          <w:smallCaps/>
          <w:sz w:val="24"/>
          <w:szCs w:val="24"/>
        </w:rPr>
        <w:t>-colloquio</w:t>
      </w:r>
    </w:p>
    <w:p w:rsidR="00AE11F3" w:rsidRDefault="00AE11F3" w:rsidP="00AE11F3"/>
    <w:p w:rsidR="00AE11F3" w:rsidRPr="00AE11F3" w:rsidRDefault="00AE11F3" w:rsidP="00AE11F3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 w:rsidRPr="00AE11F3">
        <w:rPr>
          <w:color w:val="000000"/>
          <w:sz w:val="24"/>
          <w:szCs w:val="24"/>
        </w:rPr>
        <w:t>Padronanza degli elementi fondamentali oggetto dell’esperienza richiesta</w:t>
      </w:r>
    </w:p>
    <w:p w:rsidR="00AE11F3" w:rsidRPr="00AE11F3" w:rsidRDefault="00AE11F3" w:rsidP="00AE11F3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AE11F3">
        <w:rPr>
          <w:color w:val="000000"/>
          <w:sz w:val="24"/>
          <w:szCs w:val="24"/>
        </w:rPr>
        <w:t>Capacità di esposizione e sintesi delle principali problematiche connesse agli argomenti relativi all’esperienza richiesta e all’attività svolta dai candidati</w:t>
      </w:r>
    </w:p>
    <w:p w:rsidR="00AE11F3" w:rsidRPr="00AE11F3" w:rsidRDefault="00AE11F3" w:rsidP="00AE11F3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AE11F3">
        <w:rPr>
          <w:color w:val="000000"/>
          <w:sz w:val="24"/>
          <w:szCs w:val="24"/>
        </w:rPr>
        <w:t xml:space="preserve">Conoscenza della lingua inglese </w:t>
      </w:r>
    </w:p>
    <w:p w:rsidR="00AE11F3" w:rsidRPr="00AE11F3" w:rsidRDefault="00AE11F3" w:rsidP="00AE11F3">
      <w:pPr>
        <w:pStyle w:val="Paragrafoelenco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AE11F3">
        <w:rPr>
          <w:color w:val="000000"/>
          <w:sz w:val="24"/>
          <w:szCs w:val="24"/>
        </w:rPr>
        <w:t>Conoscenza delle apparecchiature informatiche più diffuse</w:t>
      </w:r>
    </w:p>
    <w:p w:rsidR="00AE11F3" w:rsidRPr="00AE11F3" w:rsidRDefault="00AE11F3" w:rsidP="00AE11F3"/>
    <w:sectPr w:rsidR="00AE11F3" w:rsidRPr="00AE11F3" w:rsidSect="00AE11F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D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B736E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11107A"/>
    <w:multiLevelType w:val="hybridMultilevel"/>
    <w:tmpl w:val="AEB62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F3"/>
    <w:rsid w:val="00687BD6"/>
    <w:rsid w:val="009336CA"/>
    <w:rsid w:val="00A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D500"/>
  <w15:chartTrackingRefBased/>
  <w15:docId w15:val="{4E49AB1B-6A9C-4EB2-A995-1B7E564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Silva Tiziana</cp:lastModifiedBy>
  <cp:revision>1</cp:revision>
  <dcterms:created xsi:type="dcterms:W3CDTF">2024-02-28T09:39:00Z</dcterms:created>
  <dcterms:modified xsi:type="dcterms:W3CDTF">2024-02-28T09:43:00Z</dcterms:modified>
</cp:coreProperties>
</file>