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3A68E" w14:textId="53D5EF34" w:rsidR="004361CB" w:rsidRPr="00D218E4" w:rsidRDefault="004361CB" w:rsidP="004361CB">
      <w:pPr>
        <w:spacing w:after="0" w:line="240" w:lineRule="auto"/>
        <w:jc w:val="center"/>
        <w:rPr>
          <w:rFonts w:cstheme="minorHAnsi"/>
          <w:b/>
          <w:sz w:val="44"/>
          <w:lang w:val="it-IT"/>
        </w:rPr>
      </w:pPr>
      <w:r w:rsidRPr="00C6777E">
        <w:rPr>
          <w:rFonts w:cstheme="minorHAnsi"/>
          <w:b/>
          <w:noProof/>
          <w:sz w:val="44"/>
          <w:lang w:val="it-IT" w:eastAsia="it-IT"/>
        </w:rPr>
        <w:drawing>
          <wp:inline distT="0" distB="0" distL="0" distR="0" wp14:anchorId="665D77F0" wp14:editId="2ACF10E6">
            <wp:extent cx="736535" cy="720000"/>
            <wp:effectExtent l="0" t="0" r="6985" b="4445"/>
            <wp:docPr id="11" name="Immagine 1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Immagine che contiene testo&#10;&#10;Descrizione generata automaticamente"/>
                    <pic:cNvPicPr/>
                  </pic:nvPicPr>
                  <pic:blipFill rotWithShape="1">
                    <a:blip r:embed="rId11" cstate="print">
                      <a:extLst>
                        <a:ext uri="{28A0092B-C50C-407E-A947-70E740481C1C}">
                          <a14:useLocalDpi xmlns:a14="http://schemas.microsoft.com/office/drawing/2010/main" val="0"/>
                        </a:ext>
                      </a:extLst>
                    </a:blip>
                    <a:srcRect r="69496"/>
                    <a:stretch/>
                  </pic:blipFill>
                  <pic:spPr bwMode="auto">
                    <a:xfrm>
                      <a:off x="0" y="0"/>
                      <a:ext cx="736535" cy="72000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sidRPr="00D218E4">
        <w:rPr>
          <w:b/>
          <w:bCs/>
          <w:sz w:val="44"/>
          <w:szCs w:val="44"/>
          <w:lang w:val="it-IT"/>
        </w:rPr>
        <w:t xml:space="preserve">                                                       </w:t>
      </w:r>
      <w:r w:rsidRPr="00C6777E">
        <w:rPr>
          <w:rFonts w:cstheme="minorHAnsi"/>
          <w:b/>
          <w:noProof/>
          <w:sz w:val="44"/>
          <w:lang w:val="it-IT" w:eastAsia="it-IT"/>
        </w:rPr>
        <w:drawing>
          <wp:inline distT="0" distB="0" distL="0" distR="0" wp14:anchorId="64C811CF" wp14:editId="6A600C43">
            <wp:extent cx="1805245" cy="720000"/>
            <wp:effectExtent l="0" t="0" r="5080" b="444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pic:nvPicPr>
                  <pic:blipFill>
                    <a:blip r:embed="rId12" cstate="print">
                      <a:clrChange>
                        <a:clrFrom>
                          <a:srgbClr val="FCFCFC"/>
                        </a:clrFrom>
                        <a:clrTo>
                          <a:srgbClr val="FCFCFC">
                            <a:alpha val="0"/>
                          </a:srgbClr>
                        </a:clrTo>
                      </a:clrChange>
                      <a:extLst>
                        <a:ext uri="{28A0092B-C50C-407E-A947-70E740481C1C}">
                          <a14:useLocalDpi xmlns:a14="http://schemas.microsoft.com/office/drawing/2010/main" val="0"/>
                        </a:ext>
                      </a:extLst>
                    </a:blip>
                    <a:stretch>
                      <a:fillRect/>
                    </a:stretch>
                  </pic:blipFill>
                  <pic:spPr>
                    <a:xfrm>
                      <a:off x="0" y="0"/>
                      <a:ext cx="1805245" cy="720000"/>
                    </a:xfrm>
                    <a:prstGeom prst="rect">
                      <a:avLst/>
                    </a:prstGeom>
                  </pic:spPr>
                </pic:pic>
              </a:graphicData>
            </a:graphic>
          </wp:inline>
        </w:drawing>
      </w:r>
    </w:p>
    <w:p w14:paraId="5A7956C6" w14:textId="77777777" w:rsidR="004361CB" w:rsidRPr="00D218E4" w:rsidRDefault="004361CB" w:rsidP="004361CB">
      <w:pPr>
        <w:spacing w:after="0" w:line="240" w:lineRule="auto"/>
        <w:jc w:val="center"/>
        <w:rPr>
          <w:b/>
          <w:lang w:val="it-IT"/>
        </w:rPr>
      </w:pPr>
    </w:p>
    <w:p w14:paraId="4A4E7EA1" w14:textId="77777777" w:rsidR="00D218E4" w:rsidRPr="00D218E4" w:rsidRDefault="00D218E4" w:rsidP="00D218E4">
      <w:pPr>
        <w:spacing w:after="0" w:line="240" w:lineRule="auto"/>
        <w:jc w:val="center"/>
        <w:rPr>
          <w:b/>
          <w:bCs/>
          <w:sz w:val="28"/>
          <w:szCs w:val="28"/>
          <w:lang w:val="it-IT"/>
        </w:rPr>
      </w:pPr>
      <w:r w:rsidRPr="00D218E4">
        <w:rPr>
          <w:b/>
          <w:sz w:val="28"/>
          <w:szCs w:val="28"/>
          <w:lang w:val="it-IT"/>
        </w:rPr>
        <w:t xml:space="preserve">Impatto della vaccinazione </w:t>
      </w:r>
      <w:r w:rsidRPr="00D218E4">
        <w:rPr>
          <w:b/>
          <w:bCs/>
          <w:sz w:val="28"/>
          <w:szCs w:val="28"/>
          <w:lang w:val="it-IT"/>
        </w:rPr>
        <w:t>COVID-19 sul rischio di</w:t>
      </w:r>
      <w:r w:rsidRPr="00D218E4">
        <w:rPr>
          <w:b/>
          <w:sz w:val="28"/>
          <w:szCs w:val="28"/>
          <w:lang w:val="it-IT"/>
        </w:rPr>
        <w:t xml:space="preserve"> infezione da SARS-</w:t>
      </w:r>
      <w:r w:rsidRPr="00D218E4">
        <w:rPr>
          <w:b/>
          <w:bCs/>
          <w:sz w:val="28"/>
          <w:szCs w:val="28"/>
          <w:lang w:val="it-IT"/>
        </w:rPr>
        <w:t>CoV</w:t>
      </w:r>
      <w:r w:rsidRPr="00D218E4">
        <w:rPr>
          <w:b/>
          <w:sz w:val="28"/>
          <w:szCs w:val="28"/>
          <w:lang w:val="it-IT"/>
        </w:rPr>
        <w:t>-2</w:t>
      </w:r>
      <w:r w:rsidRPr="00D218E4">
        <w:rPr>
          <w:b/>
          <w:bCs/>
          <w:sz w:val="28"/>
          <w:szCs w:val="28"/>
          <w:lang w:val="it-IT"/>
        </w:rPr>
        <w:t xml:space="preserve"> e successivo ricovero e decesso in Italia </w:t>
      </w:r>
    </w:p>
    <w:p w14:paraId="405CC41D" w14:textId="1D917209" w:rsidR="00D218E4" w:rsidRPr="00D218E4" w:rsidRDefault="00D218E4" w:rsidP="00D218E4">
      <w:pPr>
        <w:spacing w:after="0" w:line="240" w:lineRule="auto"/>
        <w:jc w:val="center"/>
        <w:rPr>
          <w:b/>
          <w:sz w:val="32"/>
          <w:szCs w:val="32"/>
          <w:lang w:val="it-IT"/>
        </w:rPr>
      </w:pPr>
      <w:r w:rsidRPr="00D218E4">
        <w:rPr>
          <w:b/>
          <w:bCs/>
          <w:sz w:val="24"/>
          <w:szCs w:val="24"/>
          <w:lang w:val="it-IT"/>
        </w:rPr>
        <w:t xml:space="preserve">(27.12.2020 - </w:t>
      </w:r>
      <w:r>
        <w:rPr>
          <w:b/>
          <w:bCs/>
          <w:sz w:val="24"/>
          <w:szCs w:val="24"/>
          <w:lang w:val="it-IT"/>
        </w:rPr>
        <w:t>29</w:t>
      </w:r>
      <w:r w:rsidRPr="00D218E4">
        <w:rPr>
          <w:b/>
          <w:bCs/>
          <w:sz w:val="24"/>
          <w:szCs w:val="24"/>
          <w:lang w:val="it-IT"/>
        </w:rPr>
        <w:t>.0</w:t>
      </w:r>
      <w:r>
        <w:rPr>
          <w:b/>
          <w:bCs/>
          <w:sz w:val="24"/>
          <w:szCs w:val="24"/>
          <w:lang w:val="it-IT"/>
        </w:rPr>
        <w:t>8</w:t>
      </w:r>
      <w:r w:rsidRPr="00D218E4">
        <w:rPr>
          <w:b/>
          <w:bCs/>
          <w:sz w:val="24"/>
          <w:szCs w:val="24"/>
          <w:lang w:val="it-IT"/>
        </w:rPr>
        <w:t>.2021)</w:t>
      </w:r>
    </w:p>
    <w:p w14:paraId="41DC519F" w14:textId="77777777" w:rsidR="00D218E4" w:rsidRDefault="00D218E4" w:rsidP="00D218E4">
      <w:pPr>
        <w:spacing w:after="0" w:line="240" w:lineRule="auto"/>
        <w:jc w:val="center"/>
        <w:rPr>
          <w:b/>
          <w:i/>
          <w:sz w:val="26"/>
          <w:szCs w:val="26"/>
          <w:lang w:val="it-IT"/>
        </w:rPr>
      </w:pPr>
      <w:r w:rsidRPr="00D218E4">
        <w:rPr>
          <w:b/>
          <w:i/>
          <w:sz w:val="26"/>
          <w:szCs w:val="26"/>
          <w:lang w:val="it-IT"/>
        </w:rPr>
        <w:t xml:space="preserve">Valutazione combinata dei dati dell’anagrafe </w:t>
      </w:r>
      <w:r w:rsidRPr="00D218E4">
        <w:rPr>
          <w:b/>
          <w:bCs/>
          <w:i/>
          <w:iCs/>
          <w:sz w:val="26"/>
          <w:szCs w:val="26"/>
          <w:lang w:val="it-IT"/>
        </w:rPr>
        <w:t>nazionale vaccini e del</w:t>
      </w:r>
      <w:r w:rsidRPr="00D218E4">
        <w:rPr>
          <w:b/>
          <w:i/>
          <w:sz w:val="26"/>
          <w:szCs w:val="26"/>
          <w:lang w:val="it-IT"/>
        </w:rPr>
        <w:t xml:space="preserve"> sistema di sorveglianza integrata COVID-19</w:t>
      </w:r>
    </w:p>
    <w:p w14:paraId="255E2A6F" w14:textId="77777777" w:rsidR="00C40931" w:rsidRPr="00D218E4" w:rsidRDefault="00C40931" w:rsidP="00D218E4">
      <w:pPr>
        <w:spacing w:after="0" w:line="240" w:lineRule="auto"/>
        <w:jc w:val="center"/>
        <w:rPr>
          <w:b/>
          <w:i/>
          <w:sz w:val="26"/>
          <w:szCs w:val="26"/>
          <w:lang w:val="it-IT"/>
        </w:rPr>
      </w:pPr>
    </w:p>
    <w:p w14:paraId="6337AFD7" w14:textId="5BF55BE6" w:rsidR="00AF3F67" w:rsidRPr="00A72FC7" w:rsidRDefault="0079349F" w:rsidP="00F8541F">
      <w:pPr>
        <w:pBdr>
          <w:top w:val="single" w:sz="4" w:space="1" w:color="auto"/>
          <w:left w:val="single" w:sz="4" w:space="4" w:color="auto"/>
          <w:bottom w:val="single" w:sz="4" w:space="7" w:color="auto"/>
          <w:right w:val="single" w:sz="4" w:space="4" w:color="auto"/>
          <w:between w:val="single" w:sz="4" w:space="1" w:color="auto"/>
        </w:pBdr>
        <w:shd w:val="clear" w:color="auto" w:fill="E7E6E6" w:themeFill="background2"/>
        <w:spacing w:after="0"/>
        <w:ind w:left="284" w:right="-1" w:hanging="284"/>
        <w:rPr>
          <w:b/>
          <w:bCs/>
          <w:sz w:val="26"/>
          <w:szCs w:val="26"/>
          <w:lang w:val="it-IT"/>
        </w:rPr>
      </w:pPr>
      <w:r w:rsidRPr="00A72FC7">
        <w:rPr>
          <w:b/>
          <w:bCs/>
          <w:sz w:val="26"/>
          <w:szCs w:val="26"/>
          <w:lang w:val="it-IT"/>
        </w:rPr>
        <w:t>Punti chiave</w:t>
      </w:r>
    </w:p>
    <w:p w14:paraId="0995AF8E" w14:textId="17874CB1" w:rsidR="002012B2" w:rsidRPr="00ED7B73" w:rsidRDefault="002012B2" w:rsidP="00BD7DDD">
      <w:pPr>
        <w:pStyle w:val="Paragrafoelenco"/>
        <w:numPr>
          <w:ilvl w:val="0"/>
          <w:numId w:val="2"/>
        </w:numPr>
        <w:pBdr>
          <w:top w:val="single" w:sz="4" w:space="1" w:color="auto"/>
          <w:left w:val="single" w:sz="4" w:space="4" w:color="auto"/>
          <w:bottom w:val="single" w:sz="4" w:space="1" w:color="auto"/>
          <w:right w:val="single" w:sz="4" w:space="4" w:color="auto"/>
        </w:pBdr>
        <w:spacing w:after="0" w:line="240" w:lineRule="auto"/>
        <w:ind w:left="284" w:right="-1" w:hanging="284"/>
        <w:jc w:val="both"/>
        <w:rPr>
          <w:rFonts w:eastAsiaTheme="minorEastAsia"/>
          <w:sz w:val="24"/>
          <w:szCs w:val="24"/>
        </w:rPr>
      </w:pPr>
      <w:r w:rsidRPr="00ED7B73">
        <w:rPr>
          <w:rFonts w:eastAsiaTheme="minorEastAsia"/>
          <w:sz w:val="24"/>
          <w:szCs w:val="24"/>
        </w:rPr>
        <w:t xml:space="preserve">Lo scopo di questo rapporto è fornire una stima del rischio di COVID-19 (comprendendo sia i casi sintomatici che quelli asintomatici) e di successivo ricovero, ricovero in un'unità di terapia intensiva e decesso, a diversi intervalli di tempo dalla vaccinazione, in individui completamente vaccinati in Italia con vaccini a mRNA. Vengono fornite stime, sia complessive che stratificate per fascia di età, specifici gruppi target di vaccinazione e fase epidemica. </w:t>
      </w:r>
    </w:p>
    <w:p w14:paraId="4E7C9601" w14:textId="29BC4DFB" w:rsidR="002012B2" w:rsidRPr="002012B2" w:rsidRDefault="002012B2" w:rsidP="00BD7DDD">
      <w:pPr>
        <w:pStyle w:val="Paragrafoelenco"/>
        <w:numPr>
          <w:ilvl w:val="0"/>
          <w:numId w:val="2"/>
        </w:numPr>
        <w:pBdr>
          <w:top w:val="single" w:sz="4" w:space="1" w:color="auto"/>
          <w:left w:val="single" w:sz="4" w:space="4" w:color="auto"/>
          <w:bottom w:val="single" w:sz="4" w:space="1" w:color="auto"/>
          <w:right w:val="single" w:sz="4" w:space="4" w:color="auto"/>
        </w:pBdr>
        <w:ind w:left="284" w:right="-1" w:hanging="284"/>
        <w:jc w:val="both"/>
        <w:rPr>
          <w:rFonts w:eastAsiaTheme="minorEastAsia"/>
          <w:sz w:val="24"/>
          <w:szCs w:val="24"/>
        </w:rPr>
      </w:pPr>
      <w:r w:rsidRPr="002012B2">
        <w:rPr>
          <w:rFonts w:eastAsiaTheme="minorEastAsia"/>
          <w:sz w:val="24"/>
          <w:szCs w:val="24"/>
        </w:rPr>
        <w:t xml:space="preserve">Questo rapporto </w:t>
      </w:r>
      <w:r w:rsidR="00B65B69">
        <w:rPr>
          <w:rFonts w:eastAsiaTheme="minorEastAsia"/>
          <w:sz w:val="24"/>
          <w:szCs w:val="24"/>
        </w:rPr>
        <w:t>riguarda</w:t>
      </w:r>
      <w:r w:rsidRPr="002012B2">
        <w:rPr>
          <w:rFonts w:eastAsiaTheme="minorEastAsia"/>
          <w:sz w:val="24"/>
          <w:szCs w:val="24"/>
        </w:rPr>
        <w:t xml:space="preserve"> oltre 29 milioni di persone (</w:t>
      </w:r>
      <w:r w:rsidR="00B65B69">
        <w:rPr>
          <w:rFonts w:eastAsiaTheme="minorEastAsia"/>
          <w:sz w:val="24"/>
          <w:szCs w:val="24"/>
        </w:rPr>
        <w:t xml:space="preserve">più del </w:t>
      </w:r>
      <w:r w:rsidRPr="002012B2">
        <w:rPr>
          <w:rFonts w:eastAsiaTheme="minorEastAsia"/>
          <w:sz w:val="24"/>
          <w:szCs w:val="24"/>
        </w:rPr>
        <w:t xml:space="preserve">56% della popolazione italiana di età ≥16 anni) che hanno ricevuto almeno una dose di un vaccino mRNA COVID-19 (Comirnaty o Spikevax che sono </w:t>
      </w:r>
      <w:r w:rsidR="00B65B69">
        <w:rPr>
          <w:rFonts w:eastAsiaTheme="minorEastAsia"/>
          <w:sz w:val="24"/>
          <w:szCs w:val="24"/>
        </w:rPr>
        <w:t xml:space="preserve">stati somministrati </w:t>
      </w:r>
      <w:r w:rsidRPr="002012B2">
        <w:rPr>
          <w:rFonts w:eastAsiaTheme="minorEastAsia"/>
          <w:sz w:val="24"/>
          <w:szCs w:val="24"/>
        </w:rPr>
        <w:t xml:space="preserve">a </w:t>
      </w:r>
      <w:r w:rsidR="00F31B37">
        <w:rPr>
          <w:rFonts w:eastAsiaTheme="minorEastAsia"/>
          <w:sz w:val="24"/>
          <w:szCs w:val="24"/>
        </w:rPr>
        <w:t>circa</w:t>
      </w:r>
      <w:r w:rsidR="00F31B37" w:rsidRPr="002012B2">
        <w:rPr>
          <w:rFonts w:eastAsiaTheme="minorEastAsia"/>
          <w:sz w:val="24"/>
          <w:szCs w:val="24"/>
        </w:rPr>
        <w:t xml:space="preserve"> </w:t>
      </w:r>
      <w:r w:rsidRPr="002012B2">
        <w:rPr>
          <w:rFonts w:eastAsiaTheme="minorEastAsia"/>
          <w:sz w:val="24"/>
          <w:szCs w:val="24"/>
        </w:rPr>
        <w:t>l'80% dei soggetti vaccinati in Italia) entro la metà di agosto e che sono stati seguiti fino al 29 agosto 2021. Il rischio di una diagnosi di COVID-19 viene valutato fino a sette mesi dalla prima dose di vaccino, mentre il rischio di una diagnosi con successivo ricovero, ricovero in terapia intensiva o decesso è valutato per un periodo fino a sei mesi dalla prima dose di vaccino.</w:t>
      </w:r>
    </w:p>
    <w:p w14:paraId="1C937FC7" w14:textId="380869A8" w:rsidR="002012B2" w:rsidRPr="002012B2" w:rsidRDefault="002012B2" w:rsidP="00BD7DDD">
      <w:pPr>
        <w:pStyle w:val="Paragrafoelenco"/>
        <w:numPr>
          <w:ilvl w:val="0"/>
          <w:numId w:val="2"/>
        </w:numPr>
        <w:pBdr>
          <w:top w:val="single" w:sz="4" w:space="1" w:color="auto"/>
          <w:left w:val="single" w:sz="4" w:space="4" w:color="auto"/>
          <w:bottom w:val="single" w:sz="4" w:space="1" w:color="auto"/>
          <w:right w:val="single" w:sz="4" w:space="4" w:color="auto"/>
        </w:pBdr>
        <w:ind w:left="284" w:right="-1" w:hanging="284"/>
        <w:jc w:val="both"/>
        <w:rPr>
          <w:rFonts w:eastAsiaTheme="minorEastAsia"/>
          <w:sz w:val="24"/>
          <w:szCs w:val="24"/>
        </w:rPr>
      </w:pPr>
      <w:r w:rsidRPr="002012B2">
        <w:rPr>
          <w:rFonts w:eastAsiaTheme="minorEastAsia"/>
          <w:sz w:val="24"/>
          <w:szCs w:val="24"/>
        </w:rPr>
        <w:t xml:space="preserve">I rapporti tra i tassi di incidenza tra soggetti vaccinati e non vaccinati e l'efficacia vaccinale nel prevenire gli eventi in studio </w:t>
      </w:r>
      <w:r w:rsidR="00454A32">
        <w:rPr>
          <w:rFonts w:eastAsiaTheme="minorEastAsia"/>
          <w:sz w:val="24"/>
          <w:szCs w:val="24"/>
        </w:rPr>
        <w:t>(</w:t>
      </w:r>
      <w:r w:rsidRPr="002012B2">
        <w:rPr>
          <w:rFonts w:eastAsiaTheme="minorEastAsia"/>
          <w:sz w:val="24"/>
          <w:szCs w:val="24"/>
        </w:rPr>
        <w:t>nei diversi intervalli di tempo dalla seconda dose</w:t>
      </w:r>
      <w:r w:rsidR="00454A32">
        <w:rPr>
          <w:rFonts w:eastAsiaTheme="minorEastAsia"/>
          <w:sz w:val="24"/>
          <w:szCs w:val="24"/>
        </w:rPr>
        <w:t>)</w:t>
      </w:r>
      <w:r w:rsidRPr="002012B2">
        <w:rPr>
          <w:rFonts w:eastAsiaTheme="minorEastAsia"/>
          <w:sz w:val="24"/>
          <w:szCs w:val="24"/>
        </w:rPr>
        <w:t xml:space="preserve"> sono stimati considerando l'intervallo di tempo 0-14 giorni dalla prima dose come il gruppo di riferimento (identificato come proxy di individui non vaccinati).</w:t>
      </w:r>
    </w:p>
    <w:p w14:paraId="6199BFD8" w14:textId="1CE50BB5" w:rsidR="002012B2" w:rsidRPr="002012B2" w:rsidRDefault="002012B2" w:rsidP="00BD7DDD">
      <w:pPr>
        <w:pStyle w:val="Paragrafoelenco"/>
        <w:numPr>
          <w:ilvl w:val="0"/>
          <w:numId w:val="2"/>
        </w:numPr>
        <w:pBdr>
          <w:top w:val="single" w:sz="4" w:space="1" w:color="auto"/>
          <w:left w:val="single" w:sz="4" w:space="4" w:color="auto"/>
          <w:bottom w:val="single" w:sz="4" w:space="1" w:color="auto"/>
          <w:right w:val="single" w:sz="4" w:space="4" w:color="auto"/>
        </w:pBdr>
        <w:ind w:left="284" w:right="-1" w:hanging="284"/>
        <w:jc w:val="both"/>
        <w:rPr>
          <w:rFonts w:eastAsiaTheme="minorEastAsia"/>
          <w:sz w:val="24"/>
          <w:szCs w:val="24"/>
        </w:rPr>
      </w:pPr>
      <w:r w:rsidRPr="002012B2">
        <w:rPr>
          <w:rFonts w:eastAsiaTheme="minorEastAsia"/>
          <w:sz w:val="24"/>
          <w:szCs w:val="24"/>
        </w:rPr>
        <w:t>Nella popolazione complessiva</w:t>
      </w:r>
      <w:r w:rsidR="00454A32">
        <w:rPr>
          <w:rFonts w:eastAsiaTheme="minorEastAsia"/>
          <w:sz w:val="24"/>
          <w:szCs w:val="24"/>
        </w:rPr>
        <w:t xml:space="preserve"> </w:t>
      </w:r>
      <w:r w:rsidRPr="002012B2">
        <w:rPr>
          <w:rFonts w:eastAsiaTheme="minorEastAsia"/>
          <w:sz w:val="24"/>
          <w:szCs w:val="24"/>
        </w:rPr>
        <w:t xml:space="preserve">non </w:t>
      </w:r>
      <w:r w:rsidR="00454A32">
        <w:rPr>
          <w:rFonts w:eastAsiaTheme="minorEastAsia"/>
          <w:sz w:val="24"/>
          <w:szCs w:val="24"/>
        </w:rPr>
        <w:t>è stata</w:t>
      </w:r>
      <w:r w:rsidR="00454A32" w:rsidRPr="002012B2">
        <w:rPr>
          <w:rFonts w:eastAsiaTheme="minorEastAsia"/>
          <w:sz w:val="24"/>
          <w:szCs w:val="24"/>
        </w:rPr>
        <w:t xml:space="preserve"> osservat</w:t>
      </w:r>
      <w:r w:rsidR="00454A32">
        <w:rPr>
          <w:rFonts w:eastAsiaTheme="minorEastAsia"/>
          <w:sz w:val="24"/>
          <w:szCs w:val="24"/>
        </w:rPr>
        <w:t>a</w:t>
      </w:r>
      <w:r w:rsidR="00454A32" w:rsidRPr="002012B2">
        <w:rPr>
          <w:rFonts w:eastAsiaTheme="minorEastAsia"/>
          <w:sz w:val="24"/>
          <w:szCs w:val="24"/>
        </w:rPr>
        <w:t xml:space="preserve"> </w:t>
      </w:r>
      <w:r w:rsidRPr="002012B2">
        <w:rPr>
          <w:rFonts w:eastAsiaTheme="minorEastAsia"/>
          <w:sz w:val="24"/>
          <w:szCs w:val="24"/>
        </w:rPr>
        <w:t>una riduzione dell'effetto protettivo della vaccinazione nei confronti di una diagnosi di COVID-19 (sintomatica o asintomatica) dopo circa sette mesi dalla seconda dose (efficacia vaccinale = 89%), né della diagnosi con successivo ricovero (efficacia vaccinale = 96%), ricovero in terapia intensiva (efficacia vaccinale = 96%), o decesso (efficacia vaccinale = 99%) dopo circa 6 mesi dalla seconda dose.</w:t>
      </w:r>
    </w:p>
    <w:p w14:paraId="6261B767" w14:textId="1DB9247C" w:rsidR="002012B2" w:rsidRPr="002012B2" w:rsidRDefault="002012B2" w:rsidP="00BD7DDD">
      <w:pPr>
        <w:pStyle w:val="Paragrafoelenco"/>
        <w:numPr>
          <w:ilvl w:val="0"/>
          <w:numId w:val="2"/>
        </w:numPr>
        <w:pBdr>
          <w:top w:val="single" w:sz="4" w:space="1" w:color="auto"/>
          <w:left w:val="single" w:sz="4" w:space="4" w:color="auto"/>
          <w:bottom w:val="single" w:sz="4" w:space="1" w:color="auto"/>
          <w:right w:val="single" w:sz="4" w:space="4" w:color="auto"/>
        </w:pBdr>
        <w:ind w:left="284" w:right="-1" w:hanging="284"/>
        <w:jc w:val="both"/>
        <w:rPr>
          <w:rFonts w:eastAsiaTheme="minorEastAsia"/>
          <w:sz w:val="24"/>
          <w:szCs w:val="24"/>
        </w:rPr>
      </w:pPr>
      <w:r w:rsidRPr="002012B2">
        <w:rPr>
          <w:rFonts w:eastAsiaTheme="minorEastAsia"/>
          <w:sz w:val="24"/>
          <w:szCs w:val="24"/>
        </w:rPr>
        <w:t xml:space="preserve">Negli individui vaccinati immunocompromessi è stata osservata una riduzione dell'effetto protettivo della vaccinazione contro qualsiasi diagnosi di COVID-19 a partire da 28 giorni dopo la seconda dose, sebbene le stime abbiano ampi intervalli di confidenza. </w:t>
      </w:r>
    </w:p>
    <w:p w14:paraId="59C5E6DF" w14:textId="19FECD70" w:rsidR="002012B2" w:rsidRPr="002012B2" w:rsidRDefault="002012B2" w:rsidP="00BD7DDD">
      <w:pPr>
        <w:pStyle w:val="Paragrafoelenco"/>
        <w:numPr>
          <w:ilvl w:val="0"/>
          <w:numId w:val="2"/>
        </w:numPr>
        <w:pBdr>
          <w:top w:val="single" w:sz="4" w:space="1" w:color="auto"/>
          <w:left w:val="single" w:sz="4" w:space="4" w:color="auto"/>
          <w:bottom w:val="single" w:sz="4" w:space="1" w:color="auto"/>
          <w:right w:val="single" w:sz="4" w:space="4" w:color="auto"/>
        </w:pBdr>
        <w:ind w:left="284" w:right="-1" w:hanging="284"/>
        <w:jc w:val="both"/>
        <w:rPr>
          <w:rFonts w:eastAsiaTheme="minorEastAsia"/>
          <w:sz w:val="24"/>
          <w:szCs w:val="24"/>
        </w:rPr>
      </w:pPr>
      <w:r w:rsidRPr="002012B2">
        <w:rPr>
          <w:rFonts w:eastAsiaTheme="minorEastAsia"/>
          <w:sz w:val="24"/>
          <w:szCs w:val="24"/>
        </w:rPr>
        <w:t xml:space="preserve">Allo stesso modo, è stata osservata una riduzione dell'effetto protettivo della vaccinazione in individui affetti da comorbidità, nei quali l'efficacia vaccinale contro qualsiasi diagnosi di COVID-19 (sintomatica o asintomatica) è </w:t>
      </w:r>
      <w:r w:rsidR="00F31B37">
        <w:rPr>
          <w:rFonts w:eastAsiaTheme="minorEastAsia"/>
          <w:sz w:val="24"/>
          <w:szCs w:val="24"/>
        </w:rPr>
        <w:t>passata</w:t>
      </w:r>
      <w:r w:rsidR="00F31B37" w:rsidRPr="002012B2">
        <w:rPr>
          <w:rFonts w:eastAsiaTheme="minorEastAsia"/>
          <w:sz w:val="24"/>
          <w:szCs w:val="24"/>
        </w:rPr>
        <w:t xml:space="preserve"> </w:t>
      </w:r>
      <w:r w:rsidRPr="002012B2">
        <w:rPr>
          <w:rFonts w:eastAsiaTheme="minorEastAsia"/>
          <w:sz w:val="24"/>
          <w:szCs w:val="24"/>
        </w:rPr>
        <w:t>dal 75% a 28 giorni dopo la seconda dose al 52% dopo 141-224 giorni.</w:t>
      </w:r>
    </w:p>
    <w:p w14:paraId="1836EDE7" w14:textId="249DD641" w:rsidR="002012B2" w:rsidRPr="002012B2" w:rsidRDefault="00F31B37" w:rsidP="00BD7DDD">
      <w:pPr>
        <w:pStyle w:val="Paragrafoelenco"/>
        <w:numPr>
          <w:ilvl w:val="0"/>
          <w:numId w:val="2"/>
        </w:numPr>
        <w:pBdr>
          <w:top w:val="single" w:sz="4" w:space="1" w:color="auto"/>
          <w:left w:val="single" w:sz="4" w:space="4" w:color="auto"/>
          <w:bottom w:val="single" w:sz="4" w:space="1" w:color="auto"/>
          <w:right w:val="single" w:sz="4" w:space="4" w:color="auto"/>
        </w:pBdr>
        <w:ind w:left="284" w:right="-1" w:hanging="284"/>
        <w:jc w:val="both"/>
        <w:rPr>
          <w:rFonts w:eastAsiaTheme="minorEastAsia"/>
          <w:sz w:val="24"/>
          <w:szCs w:val="24"/>
        </w:rPr>
      </w:pPr>
      <w:r>
        <w:rPr>
          <w:rFonts w:eastAsiaTheme="minorEastAsia"/>
          <w:sz w:val="24"/>
          <w:szCs w:val="24"/>
        </w:rPr>
        <w:t>E’ stato</w:t>
      </w:r>
      <w:r w:rsidRPr="002012B2">
        <w:rPr>
          <w:rFonts w:eastAsiaTheme="minorEastAsia"/>
          <w:sz w:val="24"/>
          <w:szCs w:val="24"/>
        </w:rPr>
        <w:t xml:space="preserve"> </w:t>
      </w:r>
      <w:r w:rsidR="002012B2" w:rsidRPr="002012B2">
        <w:rPr>
          <w:rFonts w:eastAsiaTheme="minorEastAsia"/>
          <w:sz w:val="24"/>
          <w:szCs w:val="24"/>
        </w:rPr>
        <w:t xml:space="preserve">anche osservato un leggero aumento del rischio di qualsiasi diagnosi tra gli individui di età ≥80 anni e tra </w:t>
      </w:r>
      <w:r>
        <w:rPr>
          <w:rFonts w:eastAsiaTheme="minorEastAsia"/>
          <w:sz w:val="24"/>
          <w:szCs w:val="24"/>
        </w:rPr>
        <w:t>gl</w:t>
      </w:r>
      <w:r w:rsidR="002012B2" w:rsidRPr="002012B2">
        <w:rPr>
          <w:rFonts w:eastAsiaTheme="minorEastAsia"/>
          <w:sz w:val="24"/>
          <w:szCs w:val="24"/>
        </w:rPr>
        <w:t xml:space="preserve">i </w:t>
      </w:r>
      <w:r>
        <w:rPr>
          <w:rFonts w:eastAsiaTheme="minorEastAsia"/>
          <w:sz w:val="24"/>
          <w:szCs w:val="24"/>
        </w:rPr>
        <w:t>ospiti</w:t>
      </w:r>
      <w:r w:rsidRPr="002012B2">
        <w:rPr>
          <w:rFonts w:eastAsiaTheme="minorEastAsia"/>
          <w:sz w:val="24"/>
          <w:szCs w:val="24"/>
        </w:rPr>
        <w:t xml:space="preserve"> </w:t>
      </w:r>
      <w:r w:rsidR="002012B2" w:rsidRPr="002012B2">
        <w:rPr>
          <w:rFonts w:eastAsiaTheme="minorEastAsia"/>
          <w:sz w:val="24"/>
          <w:szCs w:val="24"/>
        </w:rPr>
        <w:t xml:space="preserve">delle case di cura dopo circa 6 mesi dalla seconda dose; tuttavia, l'efficacia vaccinale è rimasta </w:t>
      </w:r>
      <w:r>
        <w:rPr>
          <w:rFonts w:eastAsiaTheme="minorEastAsia"/>
          <w:sz w:val="24"/>
          <w:szCs w:val="24"/>
        </w:rPr>
        <w:t>superiore all</w:t>
      </w:r>
      <w:r w:rsidR="002012B2" w:rsidRPr="002012B2">
        <w:rPr>
          <w:rFonts w:eastAsiaTheme="minorEastAsia"/>
          <w:sz w:val="24"/>
          <w:szCs w:val="24"/>
        </w:rPr>
        <w:t>’80% a circa 7 mesi dopo la seconda dose.</w:t>
      </w:r>
    </w:p>
    <w:p w14:paraId="0E51782F" w14:textId="015286AD" w:rsidR="002012B2" w:rsidRPr="002012B2" w:rsidRDefault="002012B2" w:rsidP="00BD7DDD">
      <w:pPr>
        <w:pStyle w:val="Paragrafoelenco"/>
        <w:numPr>
          <w:ilvl w:val="0"/>
          <w:numId w:val="2"/>
        </w:numPr>
        <w:pBdr>
          <w:top w:val="single" w:sz="4" w:space="1" w:color="auto"/>
          <w:left w:val="single" w:sz="4" w:space="4" w:color="auto"/>
          <w:bottom w:val="single" w:sz="4" w:space="1" w:color="auto"/>
          <w:right w:val="single" w:sz="4" w:space="4" w:color="auto"/>
        </w:pBdr>
        <w:ind w:left="284" w:right="-1" w:hanging="284"/>
        <w:jc w:val="both"/>
        <w:rPr>
          <w:rFonts w:eastAsiaTheme="minorEastAsia"/>
          <w:sz w:val="24"/>
          <w:szCs w:val="24"/>
        </w:rPr>
      </w:pPr>
      <w:r w:rsidRPr="002012B2">
        <w:rPr>
          <w:rFonts w:eastAsiaTheme="minorEastAsia"/>
          <w:sz w:val="24"/>
          <w:szCs w:val="24"/>
        </w:rPr>
        <w:lastRenderedPageBreak/>
        <w:t>L'analisi stratificata per fase epidemica ha mostrato che l'efficacia vaccinale nel prevenire qualsiasi diagnosi sintomatica o asintomatica di COVID-19 in persone completamente vaccinate (&gt;14 giorni dalla seconda dose) è diminuita dall'84,8% (IC 95%: 84,3-85,3%) nel periodo dal 27/12/2020 al 13/6/2021 (caratterizzato dalla predominanza del variante alfa) al 67,1% (IC 95%: 65,1-69,0%) nel periodo dal 19/7/2021 al 29/8/2021 (caratterizzato dalla predominanza della variante delta).</w:t>
      </w:r>
    </w:p>
    <w:p w14:paraId="667C5E91" w14:textId="4484FDF7" w:rsidR="002012B2" w:rsidRPr="002012B2" w:rsidRDefault="002012B2" w:rsidP="00BD7DDD">
      <w:pPr>
        <w:pStyle w:val="Paragrafoelenco"/>
        <w:numPr>
          <w:ilvl w:val="0"/>
          <w:numId w:val="2"/>
        </w:numPr>
        <w:pBdr>
          <w:top w:val="single" w:sz="4" w:space="1" w:color="auto"/>
          <w:left w:val="single" w:sz="4" w:space="4" w:color="auto"/>
          <w:bottom w:val="single" w:sz="4" w:space="1" w:color="auto"/>
          <w:right w:val="single" w:sz="4" w:space="4" w:color="auto"/>
        </w:pBdr>
        <w:ind w:left="284" w:right="-1" w:hanging="284"/>
        <w:jc w:val="both"/>
        <w:rPr>
          <w:rFonts w:eastAsiaTheme="minorEastAsia"/>
          <w:sz w:val="24"/>
          <w:szCs w:val="24"/>
        </w:rPr>
      </w:pPr>
      <w:r w:rsidRPr="002012B2">
        <w:rPr>
          <w:rFonts w:eastAsiaTheme="minorEastAsia"/>
          <w:sz w:val="24"/>
          <w:szCs w:val="24"/>
        </w:rPr>
        <w:t>Al contrario, l'efficacia vaccinale nel prevenire la diagnosi con successivo</w:t>
      </w:r>
      <w:r w:rsidR="002C0498">
        <w:rPr>
          <w:rFonts w:eastAsiaTheme="minorEastAsia"/>
          <w:sz w:val="24"/>
          <w:szCs w:val="24"/>
        </w:rPr>
        <w:t xml:space="preserve"> ricovero rimane elevata: 91,7%</w:t>
      </w:r>
      <w:r w:rsidRPr="002012B2">
        <w:rPr>
          <w:rFonts w:eastAsiaTheme="minorEastAsia"/>
          <w:sz w:val="24"/>
          <w:szCs w:val="24"/>
        </w:rPr>
        <w:t xml:space="preserve"> (IC 95%: 91,0-92,4%) durante la “fase alfa” e 88,7% (IC 95%: 66,1-96,3%) durante la “fase delta” (analisi dell'ospedalizzazione </w:t>
      </w:r>
      <w:r w:rsidR="0065691C" w:rsidRPr="00ED7B73">
        <w:rPr>
          <w:rFonts w:eastAsiaTheme="minorEastAsia"/>
          <w:sz w:val="24"/>
          <w:szCs w:val="24"/>
        </w:rPr>
        <w:t>limitata alle diagnosi avvenute entro</w:t>
      </w:r>
      <w:r w:rsidRPr="002012B2">
        <w:rPr>
          <w:rFonts w:eastAsiaTheme="minorEastAsia"/>
          <w:sz w:val="24"/>
          <w:szCs w:val="24"/>
        </w:rPr>
        <w:t xml:space="preserve"> il 1/8/2021). Tuttavia, queste stime mancano di precisione e necessitano di maggiori dati di follow-up per una valutazione adeguata. </w:t>
      </w:r>
    </w:p>
    <w:p w14:paraId="4C44C30E" w14:textId="5F547DC1" w:rsidR="002012B2" w:rsidRPr="002012B2" w:rsidRDefault="002012B2" w:rsidP="00BD7DDD">
      <w:pPr>
        <w:pStyle w:val="Paragrafoelenco"/>
        <w:numPr>
          <w:ilvl w:val="0"/>
          <w:numId w:val="2"/>
        </w:numPr>
        <w:pBdr>
          <w:top w:val="single" w:sz="4" w:space="1" w:color="auto"/>
          <w:left w:val="single" w:sz="4" w:space="4" w:color="auto"/>
          <w:bottom w:val="single" w:sz="4" w:space="1" w:color="auto"/>
          <w:right w:val="single" w:sz="4" w:space="4" w:color="auto"/>
        </w:pBdr>
        <w:ind w:left="284" w:right="-1" w:hanging="284"/>
        <w:jc w:val="both"/>
        <w:rPr>
          <w:rFonts w:eastAsiaTheme="minorEastAsia"/>
          <w:sz w:val="24"/>
          <w:szCs w:val="24"/>
        </w:rPr>
      </w:pPr>
      <w:r w:rsidRPr="002012B2">
        <w:rPr>
          <w:rFonts w:eastAsiaTheme="minorEastAsia"/>
          <w:sz w:val="24"/>
          <w:szCs w:val="24"/>
        </w:rPr>
        <w:t xml:space="preserve">La diminuzione dell'efficacia verso qualsiasi diagnosi di COVID-19, osservata durante la “fase delta”, può essere dovuta al calo dell'immunità protettiva dei vaccini o all'evasione immunitaria da parte del virus variante. Anche i fattori comportamentali possono aver contribuito </w:t>
      </w:r>
      <w:r w:rsidR="00F31B37">
        <w:rPr>
          <w:rFonts w:eastAsiaTheme="minorEastAsia"/>
          <w:sz w:val="24"/>
          <w:szCs w:val="24"/>
        </w:rPr>
        <w:t xml:space="preserve">a </w:t>
      </w:r>
      <w:r w:rsidRPr="002012B2">
        <w:rPr>
          <w:rFonts w:eastAsiaTheme="minorEastAsia"/>
          <w:sz w:val="24"/>
          <w:szCs w:val="24"/>
        </w:rPr>
        <w:t xml:space="preserve">influenzare quanto osservato. </w:t>
      </w:r>
    </w:p>
    <w:p w14:paraId="4AB23326" w14:textId="4C9D77D6" w:rsidR="002012B2" w:rsidRPr="00ED7B73" w:rsidRDefault="002012B2" w:rsidP="00BD7DDD">
      <w:pPr>
        <w:pStyle w:val="Paragrafoelenco"/>
        <w:numPr>
          <w:ilvl w:val="0"/>
          <w:numId w:val="2"/>
        </w:numPr>
        <w:pBdr>
          <w:top w:val="single" w:sz="4" w:space="1" w:color="auto"/>
          <w:left w:val="single" w:sz="4" w:space="4" w:color="auto"/>
          <w:bottom w:val="single" w:sz="4" w:space="1" w:color="auto"/>
          <w:right w:val="single" w:sz="4" w:space="4" w:color="auto"/>
        </w:pBdr>
        <w:spacing w:after="0" w:line="240" w:lineRule="auto"/>
        <w:ind w:left="284" w:right="-1" w:hanging="284"/>
        <w:jc w:val="both"/>
        <w:rPr>
          <w:rFonts w:eastAsiaTheme="minorEastAsia"/>
          <w:sz w:val="24"/>
          <w:szCs w:val="24"/>
        </w:rPr>
      </w:pPr>
      <w:r w:rsidRPr="002012B2">
        <w:rPr>
          <w:rFonts w:eastAsiaTheme="minorEastAsia"/>
          <w:sz w:val="24"/>
          <w:szCs w:val="24"/>
        </w:rPr>
        <w:t xml:space="preserve">È necessario un tempo di follow-up più lungo per valutare adeguatamente qualsiasi potenziale riduzione dell'effetto protettivo della vaccinazione contro la malattia grave (ad es. ospedalizzazione, ricovero in terapia intensiva, decesso), sia in generale che per specifici gruppi </w:t>
      </w:r>
      <w:r w:rsidRPr="002012B2">
        <w:rPr>
          <w:rFonts w:eastAsiaTheme="minorEastAsia"/>
          <w:i/>
          <w:iCs/>
          <w:sz w:val="24"/>
          <w:szCs w:val="24"/>
        </w:rPr>
        <w:t>target</w:t>
      </w:r>
      <w:r w:rsidRPr="002012B2">
        <w:rPr>
          <w:rFonts w:eastAsiaTheme="minorEastAsia"/>
          <w:sz w:val="24"/>
          <w:szCs w:val="24"/>
        </w:rPr>
        <w:t xml:space="preserve"> di vaccinazione, durante la “fase epidemica delta”. </w:t>
      </w:r>
    </w:p>
    <w:p w14:paraId="2444171E" w14:textId="599B6AE4" w:rsidR="0065691C" w:rsidRPr="00521AE0" w:rsidRDefault="0065691C">
      <w:pPr>
        <w:rPr>
          <w:lang w:val="it-IT"/>
        </w:rPr>
      </w:pPr>
      <w:r w:rsidRPr="007B1BF1">
        <w:rPr>
          <w:lang w:val="it-IT"/>
        </w:rPr>
        <w:br w:type="page"/>
      </w:r>
    </w:p>
    <w:p w14:paraId="555C042C" w14:textId="77777777" w:rsidR="00AA7237" w:rsidRPr="00BC732B" w:rsidRDefault="00AA7237">
      <w:pPr>
        <w:rPr>
          <w:lang w:val="it-IT"/>
        </w:rPr>
      </w:pPr>
    </w:p>
    <w:p w14:paraId="12BFD5C6" w14:textId="77777777" w:rsidR="0011726A" w:rsidRPr="0011726A" w:rsidRDefault="0011726A" w:rsidP="0011726A">
      <w:pPr>
        <w:pBdr>
          <w:top w:val="single" w:sz="4" w:space="1" w:color="auto"/>
          <w:left w:val="single" w:sz="4" w:space="4" w:color="auto"/>
          <w:bottom w:val="single" w:sz="4" w:space="1" w:color="auto"/>
          <w:right w:val="single" w:sz="4" w:space="4" w:color="auto"/>
        </w:pBdr>
        <w:spacing w:after="0" w:line="240" w:lineRule="auto"/>
        <w:rPr>
          <w:b/>
          <w:sz w:val="28"/>
          <w:lang w:val="it-IT"/>
        </w:rPr>
      </w:pPr>
      <w:r w:rsidRPr="0011726A">
        <w:rPr>
          <w:b/>
          <w:sz w:val="28"/>
          <w:lang w:val="it-IT"/>
        </w:rPr>
        <w:t>A cura del Gruppo di lavoro ISS e Ministero della Salute "</w:t>
      </w:r>
      <w:r w:rsidRPr="0011726A">
        <w:rPr>
          <w:b/>
          <w:i/>
          <w:sz w:val="28"/>
          <w:lang w:val="it-IT"/>
        </w:rPr>
        <w:t>Sorveglianza vaccini COVID-19</w:t>
      </w:r>
      <w:r w:rsidRPr="0011726A">
        <w:rPr>
          <w:b/>
          <w:sz w:val="28"/>
          <w:lang w:val="it-IT"/>
        </w:rPr>
        <w:t>”</w:t>
      </w:r>
    </w:p>
    <w:p w14:paraId="6478D5E8" w14:textId="63EDC99C" w:rsidR="0011726A" w:rsidRPr="0011726A" w:rsidRDefault="0011726A" w:rsidP="0011726A">
      <w:pPr>
        <w:pBdr>
          <w:top w:val="single" w:sz="4" w:space="1" w:color="auto"/>
          <w:left w:val="single" w:sz="4" w:space="4" w:color="auto"/>
          <w:bottom w:val="single" w:sz="4" w:space="1" w:color="auto"/>
          <w:right w:val="single" w:sz="4" w:space="4" w:color="auto"/>
        </w:pBdr>
        <w:spacing w:after="0" w:line="240" w:lineRule="auto"/>
        <w:jc w:val="both"/>
        <w:rPr>
          <w:lang w:val="it-IT"/>
        </w:rPr>
      </w:pPr>
      <w:r w:rsidRPr="0011726A">
        <w:rPr>
          <w:lang w:val="it-IT"/>
        </w:rPr>
        <w:t xml:space="preserve">Patrizio Pezzotti, Massimo Fabiani, Antonietta Filia, Alberto Mateo Urdiales, </w:t>
      </w:r>
      <w:r w:rsidR="00AA7237">
        <w:rPr>
          <w:lang w:val="it-IT"/>
        </w:rPr>
        <w:t xml:space="preserve">Chiara Sacco, </w:t>
      </w:r>
      <w:r w:rsidRPr="0011726A">
        <w:rPr>
          <w:lang w:val="it-IT"/>
        </w:rPr>
        <w:t>Fortunato (Paolo) D’Ancona, Matteo Spuri, Flavia Riccardo, Antonino Bella (DMI, ISS)</w:t>
      </w:r>
    </w:p>
    <w:p w14:paraId="0AB32257" w14:textId="77777777" w:rsidR="0011726A" w:rsidRPr="0011726A" w:rsidRDefault="0011726A" w:rsidP="0011726A">
      <w:pPr>
        <w:pBdr>
          <w:top w:val="single" w:sz="4" w:space="1" w:color="auto"/>
          <w:left w:val="single" w:sz="4" w:space="4" w:color="auto"/>
          <w:bottom w:val="single" w:sz="4" w:space="1" w:color="auto"/>
          <w:right w:val="single" w:sz="4" w:space="4" w:color="auto"/>
        </w:pBdr>
        <w:spacing w:after="0" w:line="240" w:lineRule="auto"/>
        <w:jc w:val="both"/>
        <w:rPr>
          <w:lang w:val="it-IT"/>
        </w:rPr>
      </w:pPr>
      <w:r w:rsidRPr="0011726A">
        <w:rPr>
          <w:lang w:val="it-IT"/>
        </w:rPr>
        <w:t>Francesca Menniti Ippolito, Roberto Da Cas, Marco Massari, Cristina Morciano, Stefania Spila Alegiani (CNRVF, ISS)</w:t>
      </w:r>
    </w:p>
    <w:p w14:paraId="15391D27" w14:textId="77777777" w:rsidR="0011726A" w:rsidRPr="0011726A" w:rsidRDefault="0011726A" w:rsidP="0011726A">
      <w:pPr>
        <w:pBdr>
          <w:top w:val="single" w:sz="4" w:space="1" w:color="auto"/>
          <w:left w:val="single" w:sz="4" w:space="4" w:color="auto"/>
          <w:bottom w:val="single" w:sz="4" w:space="1" w:color="auto"/>
          <w:right w:val="single" w:sz="4" w:space="4" w:color="auto"/>
        </w:pBdr>
        <w:spacing w:after="0" w:line="240" w:lineRule="auto"/>
        <w:jc w:val="both"/>
        <w:rPr>
          <w:lang w:val="it-IT"/>
        </w:rPr>
      </w:pPr>
      <w:r w:rsidRPr="0011726A">
        <w:rPr>
          <w:lang w:val="it-IT"/>
        </w:rPr>
        <w:t>Maria Puopolo (NEURO, ISS)</w:t>
      </w:r>
    </w:p>
    <w:p w14:paraId="4B2027D3" w14:textId="77777777" w:rsidR="0011726A" w:rsidRPr="0011726A" w:rsidRDefault="0011726A" w:rsidP="0011726A">
      <w:pPr>
        <w:pBdr>
          <w:top w:val="single" w:sz="4" w:space="1" w:color="auto"/>
          <w:left w:val="single" w:sz="4" w:space="4" w:color="auto"/>
          <w:bottom w:val="single" w:sz="4" w:space="1" w:color="auto"/>
          <w:right w:val="single" w:sz="4" w:space="4" w:color="auto"/>
        </w:pBdr>
        <w:spacing w:after="0" w:line="240" w:lineRule="auto"/>
        <w:jc w:val="both"/>
        <w:rPr>
          <w:lang w:val="it-IT"/>
        </w:rPr>
      </w:pPr>
      <w:r w:rsidRPr="0011726A">
        <w:rPr>
          <w:lang w:val="it-IT"/>
        </w:rPr>
        <w:t>Marco Tallon (DG-INF, ISS)</w:t>
      </w:r>
    </w:p>
    <w:p w14:paraId="2BA4AE82" w14:textId="77777777" w:rsidR="0011726A" w:rsidRPr="0011726A" w:rsidRDefault="0011726A" w:rsidP="0011726A">
      <w:pPr>
        <w:pBdr>
          <w:top w:val="single" w:sz="4" w:space="1" w:color="auto"/>
          <w:left w:val="single" w:sz="4" w:space="4" w:color="auto"/>
          <w:bottom w:val="single" w:sz="4" w:space="1" w:color="auto"/>
          <w:right w:val="single" w:sz="4" w:space="4" w:color="auto"/>
        </w:pBdr>
        <w:spacing w:after="0" w:line="240" w:lineRule="auto"/>
        <w:jc w:val="both"/>
        <w:rPr>
          <w:lang w:val="it-IT"/>
        </w:rPr>
      </w:pPr>
      <w:r w:rsidRPr="0011726A">
        <w:rPr>
          <w:lang w:val="it-IT"/>
        </w:rPr>
        <w:t>Serena Battilomo, Valeria Proietti (DG-SISS, Ministero della Salute)</w:t>
      </w:r>
    </w:p>
    <w:p w14:paraId="67C7776F" w14:textId="77777777" w:rsidR="0011726A" w:rsidRPr="0011726A" w:rsidRDefault="0011726A" w:rsidP="0011726A">
      <w:pPr>
        <w:pBdr>
          <w:top w:val="single" w:sz="4" w:space="1" w:color="auto"/>
          <w:left w:val="single" w:sz="4" w:space="4" w:color="auto"/>
          <w:bottom w:val="single" w:sz="4" w:space="1" w:color="auto"/>
          <w:right w:val="single" w:sz="4" w:space="4" w:color="auto"/>
        </w:pBdr>
        <w:spacing w:after="0" w:line="240" w:lineRule="auto"/>
        <w:jc w:val="both"/>
        <w:rPr>
          <w:lang w:val="it-IT"/>
        </w:rPr>
      </w:pPr>
      <w:r w:rsidRPr="0011726A">
        <w:rPr>
          <w:lang w:val="it-IT"/>
        </w:rPr>
        <w:t xml:space="preserve"> </w:t>
      </w:r>
    </w:p>
    <w:p w14:paraId="6A3DBEBB" w14:textId="77777777" w:rsidR="0011726A" w:rsidRPr="0011726A" w:rsidRDefault="0011726A" w:rsidP="0011726A">
      <w:pPr>
        <w:pBdr>
          <w:top w:val="single" w:sz="4" w:space="1" w:color="auto"/>
          <w:left w:val="single" w:sz="4" w:space="4" w:color="auto"/>
          <w:bottom w:val="single" w:sz="4" w:space="1" w:color="auto"/>
          <w:right w:val="single" w:sz="4" w:space="4" w:color="auto"/>
        </w:pBdr>
        <w:spacing w:after="0" w:line="240" w:lineRule="auto"/>
        <w:jc w:val="both"/>
        <w:rPr>
          <w:b/>
          <w:bCs/>
          <w:lang w:val="it-IT"/>
        </w:rPr>
      </w:pPr>
      <w:r w:rsidRPr="0011726A">
        <w:rPr>
          <w:b/>
          <w:bCs/>
          <w:lang w:val="it-IT"/>
        </w:rPr>
        <w:t>Gruppo di sorveglianza integrata COVID-19 in ISS:</w:t>
      </w:r>
    </w:p>
    <w:p w14:paraId="5DCAEADE" w14:textId="77777777" w:rsidR="0011726A" w:rsidRPr="0011726A" w:rsidRDefault="0011726A" w:rsidP="0011726A">
      <w:pPr>
        <w:pBdr>
          <w:top w:val="single" w:sz="4" w:space="1" w:color="auto"/>
          <w:left w:val="single" w:sz="4" w:space="4" w:color="auto"/>
          <w:bottom w:val="single" w:sz="4" w:space="1" w:color="auto"/>
          <w:right w:val="single" w:sz="4" w:space="4" w:color="auto"/>
        </w:pBdr>
        <w:spacing w:after="0" w:line="240" w:lineRule="auto"/>
        <w:jc w:val="both"/>
        <w:rPr>
          <w:lang w:val="it-IT"/>
        </w:rPr>
      </w:pPr>
      <w:r w:rsidRPr="0011726A">
        <w:rPr>
          <w:lang w:val="it-IT"/>
        </w:rPr>
        <w:t>Antonino Bella, Alberto Mateo Urdiales, Martina Del Manso, Massimo Fabiani, Matteo Spuri, Chiara Sacco, Stefano Boros, Maria Cristina Rota, Ornella Punzo, Maria Fenicia Vescio, Daniele Petrone, Marco Tallon, Corrado Di Benedetto, Alessandra Ciervo, Paola Stefanelli, Flavia Riccardo, Patrizio Pezzotti</w:t>
      </w:r>
    </w:p>
    <w:p w14:paraId="4CA125CF" w14:textId="77777777" w:rsidR="0011726A" w:rsidRPr="0011726A" w:rsidRDefault="0011726A" w:rsidP="0011726A">
      <w:pPr>
        <w:pBdr>
          <w:top w:val="single" w:sz="4" w:space="1" w:color="auto"/>
          <w:left w:val="single" w:sz="4" w:space="4" w:color="auto"/>
          <w:bottom w:val="single" w:sz="4" w:space="1" w:color="auto"/>
          <w:right w:val="single" w:sz="4" w:space="4" w:color="auto"/>
        </w:pBdr>
        <w:spacing w:after="0" w:line="240" w:lineRule="auto"/>
        <w:jc w:val="both"/>
        <w:rPr>
          <w:lang w:val="it-IT"/>
        </w:rPr>
      </w:pPr>
    </w:p>
    <w:p w14:paraId="5D3443E6" w14:textId="77777777" w:rsidR="0011726A" w:rsidRPr="0011726A" w:rsidRDefault="0011726A" w:rsidP="0011726A">
      <w:pPr>
        <w:pBdr>
          <w:top w:val="single" w:sz="4" w:space="1" w:color="auto"/>
          <w:left w:val="single" w:sz="4" w:space="4" w:color="auto"/>
          <w:bottom w:val="single" w:sz="4" w:space="1" w:color="auto"/>
          <w:right w:val="single" w:sz="4" w:space="4" w:color="auto"/>
        </w:pBdr>
        <w:spacing w:after="0" w:line="240" w:lineRule="auto"/>
        <w:jc w:val="both"/>
        <w:rPr>
          <w:b/>
          <w:bCs/>
          <w:lang w:val="it-IT"/>
        </w:rPr>
      </w:pPr>
      <w:r w:rsidRPr="0011726A">
        <w:rPr>
          <w:b/>
          <w:bCs/>
          <w:lang w:val="it-IT"/>
        </w:rPr>
        <w:t xml:space="preserve">Referenti regionali della sorveglianza integrata COVID-19: </w:t>
      </w:r>
    </w:p>
    <w:p w14:paraId="391DB642" w14:textId="77777777" w:rsidR="0011726A" w:rsidRPr="0011726A" w:rsidRDefault="0011726A" w:rsidP="0011726A">
      <w:pPr>
        <w:pBdr>
          <w:top w:val="single" w:sz="4" w:space="1" w:color="auto"/>
          <w:left w:val="single" w:sz="4" w:space="4" w:color="auto"/>
          <w:bottom w:val="single" w:sz="4" w:space="1" w:color="auto"/>
          <w:right w:val="single" w:sz="4" w:space="4" w:color="auto"/>
        </w:pBdr>
        <w:spacing w:after="0" w:line="240" w:lineRule="auto"/>
        <w:jc w:val="both"/>
        <w:rPr>
          <w:lang w:val="it-IT"/>
        </w:rPr>
      </w:pPr>
      <w:r w:rsidRPr="0011726A">
        <w:rPr>
          <w:lang w:val="it-IT"/>
        </w:rPr>
        <w:t>Antonia Petrucci (Abruzzo); Michele La Bianca (Basilicata); Anna Domenica Mignuoli (Calabria); Pietro Buono (Campania); Erika Massimiliani (Emilia-Romagna); Fabio Barbone (Friuli Venezia Giulia); Francesco Vairo (Lazio); Camilla Sticchi (Liguria); Danilo Cereda (Lombardia); Lucia Di Furia (Marche); Francesco Sforza (Molise); Annamaria Bassot (P.A. Bolzano); Pier Paolo Benetollo (P.A. Trento); Chiara Pasqualini (Piemonte); Lucia Bisceglia (Puglia); Maria Antonietta Palmas (Sardegna); Salvatore Scondotto (Sicilia); Emanuela Balocchini (Toscana); Anna Tosti (Umbria); Mauro Ruffier (Valle D'Aosta); Filippo Da Re (Veneto)</w:t>
      </w:r>
    </w:p>
    <w:p w14:paraId="43E5C470" w14:textId="77777777" w:rsidR="0011726A" w:rsidRPr="0011726A" w:rsidRDefault="0011726A" w:rsidP="0011726A">
      <w:pPr>
        <w:pBdr>
          <w:top w:val="single" w:sz="4" w:space="1" w:color="auto"/>
          <w:left w:val="single" w:sz="4" w:space="4" w:color="auto"/>
          <w:bottom w:val="single" w:sz="4" w:space="1" w:color="auto"/>
          <w:right w:val="single" w:sz="4" w:space="4" w:color="auto"/>
        </w:pBdr>
        <w:spacing w:after="0" w:line="240" w:lineRule="auto"/>
        <w:jc w:val="both"/>
        <w:rPr>
          <w:lang w:val="it-IT"/>
        </w:rPr>
      </w:pPr>
    </w:p>
    <w:p w14:paraId="60ADDAF2" w14:textId="77777777" w:rsidR="0011726A" w:rsidRPr="0011726A" w:rsidRDefault="0011726A" w:rsidP="0011726A">
      <w:pPr>
        <w:pBdr>
          <w:top w:val="single" w:sz="4" w:space="1" w:color="auto"/>
          <w:left w:val="single" w:sz="4" w:space="4" w:color="auto"/>
          <w:bottom w:val="single" w:sz="4" w:space="1" w:color="auto"/>
          <w:right w:val="single" w:sz="4" w:space="4" w:color="auto"/>
        </w:pBdr>
        <w:spacing w:after="0" w:line="240" w:lineRule="auto"/>
        <w:jc w:val="both"/>
        <w:rPr>
          <w:b/>
          <w:bCs/>
          <w:lang w:val="it-IT"/>
        </w:rPr>
      </w:pPr>
      <w:r w:rsidRPr="0011726A">
        <w:rPr>
          <w:b/>
          <w:bCs/>
          <w:lang w:val="it-IT"/>
        </w:rPr>
        <w:t xml:space="preserve">Referenti regionali della Anagrafe Nazionale Vaccini (flusso AVN vaccinazioni anti-COVID-19): </w:t>
      </w:r>
    </w:p>
    <w:p w14:paraId="08B56317" w14:textId="77777777" w:rsidR="0011726A" w:rsidRPr="0011726A" w:rsidRDefault="0011726A" w:rsidP="0011726A">
      <w:pPr>
        <w:pBdr>
          <w:top w:val="single" w:sz="4" w:space="1" w:color="auto"/>
          <w:left w:val="single" w:sz="4" w:space="4" w:color="auto"/>
          <w:bottom w:val="single" w:sz="4" w:space="1" w:color="auto"/>
          <w:right w:val="single" w:sz="4" w:space="4" w:color="auto"/>
        </w:pBdr>
        <w:spacing w:after="0" w:line="240" w:lineRule="auto"/>
        <w:jc w:val="both"/>
        <w:rPr>
          <w:lang w:val="it-IT"/>
        </w:rPr>
      </w:pPr>
      <w:r w:rsidRPr="0011726A">
        <w:rPr>
          <w:lang w:val="it-IT"/>
        </w:rPr>
        <w:t>Camillo Odio (Abruzzo); Michele Recine (Basilicata); Innocenza Ruberto (Calabria); Salvatore Ascione e Massimo Bisogno (Campania); Gandolfo Miserendino, Massimiliano Navacchia (Emilia-Romagna); Beatrice Del Frate, Emanuela Cau (Friuli Venezia Giulia); Diego Baiocchi, Danilo Fusco (Lazio); Domenico Gallo (Liguria); Maria Rosa Marchetti (Lombardia); Liana Spazzafumo (Marche); Raffaele Malatesta (Molise); Antonio Fanolla (P.A. Bolzano); Diego Conforti, Carlo Trentini (P.A. Trento); Antonino Ruggeri (Piemonte); Concetta Ladalardo, Nehludoff Albano (Puglia); Marco Corona, Paolo Lombardi (Sardegna); Massimo Iacono (Sicilia); Paolo Bruno Angori, Andrea Belardinelli (Toscana); Milena Solfiti (Umbria); Stefano Fioraso (Valle D'Aosta); Chiara Poma, Nadia Raccanello (Veneto)</w:t>
      </w:r>
    </w:p>
    <w:p w14:paraId="3A609E6C" w14:textId="77777777" w:rsidR="002027FF" w:rsidRPr="0011726A" w:rsidRDefault="002027FF">
      <w:pPr>
        <w:rPr>
          <w:lang w:val="it-IT"/>
        </w:rPr>
      </w:pPr>
    </w:p>
    <w:p w14:paraId="1DC68881" w14:textId="77777777" w:rsidR="00DB30DC" w:rsidRPr="00B576CE" w:rsidRDefault="00DB30DC">
      <w:pPr>
        <w:rPr>
          <w:lang w:val="it-IT"/>
        </w:rPr>
      </w:pPr>
    </w:p>
    <w:p w14:paraId="36C5C697" w14:textId="77777777" w:rsidR="00FC783E" w:rsidRPr="002845CB" w:rsidRDefault="00FC783E">
      <w:pPr>
        <w:rPr>
          <w:b/>
          <w:bCs/>
          <w:sz w:val="28"/>
          <w:szCs w:val="28"/>
          <w:lang w:val="it-IT"/>
        </w:rPr>
      </w:pPr>
      <w:r w:rsidRPr="002845CB">
        <w:rPr>
          <w:b/>
          <w:bCs/>
          <w:sz w:val="28"/>
          <w:szCs w:val="28"/>
          <w:lang w:val="it-IT"/>
        </w:rPr>
        <w:br w:type="page"/>
      </w:r>
    </w:p>
    <w:p w14:paraId="02A31E72" w14:textId="062AABBD" w:rsidR="00AF3F67" w:rsidRPr="00854170" w:rsidRDefault="002027FF" w:rsidP="00D922EB">
      <w:pPr>
        <w:shd w:val="clear" w:color="auto" w:fill="D0CECE" w:themeFill="background2" w:themeFillShade="E6"/>
        <w:jc w:val="both"/>
        <w:rPr>
          <w:b/>
          <w:bCs/>
          <w:sz w:val="28"/>
          <w:szCs w:val="28"/>
          <w:lang w:val="it-IT"/>
        </w:rPr>
      </w:pPr>
      <w:r w:rsidRPr="00854170">
        <w:rPr>
          <w:b/>
          <w:bCs/>
          <w:sz w:val="28"/>
          <w:szCs w:val="28"/>
          <w:lang w:val="it-IT"/>
        </w:rPr>
        <w:lastRenderedPageBreak/>
        <w:t>Introdu</w:t>
      </w:r>
      <w:r w:rsidR="00425C11" w:rsidRPr="00854170">
        <w:rPr>
          <w:b/>
          <w:bCs/>
          <w:sz w:val="28"/>
          <w:szCs w:val="28"/>
          <w:lang w:val="it-IT"/>
        </w:rPr>
        <w:t>zione</w:t>
      </w:r>
    </w:p>
    <w:p w14:paraId="3AE8276A" w14:textId="56312F9D" w:rsidR="00425C11" w:rsidRPr="00425C11" w:rsidRDefault="00425C11" w:rsidP="00425C11">
      <w:pPr>
        <w:jc w:val="both"/>
        <w:rPr>
          <w:lang w:val="it-IT"/>
        </w:rPr>
      </w:pPr>
      <w:r w:rsidRPr="00425C11">
        <w:rPr>
          <w:lang w:val="it-IT"/>
        </w:rPr>
        <w:t xml:space="preserve">Come altri paesi europei, l'Italia ha lanciato la sua campagna di vaccinazione COVID-19 il 27 dicembre 2020. Quattro vaccini sono al momento approvati e autorizzati per l'uso in Italia: i vaccini a mRNA Comirnaty (BNT162b2 mRNA, BioNTech-Pfizer, Mainz, Germania/New York, Stati Uniti (US) e Spikevax (mRNA-1273, Moderna, Cambridge, US); e vaccini a vettori virali Vaxzevria (ChAdOx1 nCoV-19, Oxford-AstraZeneca, Cambridge, Regno Unito) e Janssen (Ad26.COV2-S (ricombinante), Janssen-Cilag International NV, Beerse, Belgio). Al primo settembre 2021, il 72% della popolazione italiana di età pari o superiore a 12 anni aveva ricevuto almeno una dose di vaccino, con il 64% che aveva ricevuto il ciclo completo di vaccinazione. Circa l'80% delle persone vaccinate in Italia ha ricevuto il vaccino a mRNA Comirnaty o Spikevax, i primi autorizzati e utilizzati durante la campagna vaccinale in Italia. </w:t>
      </w:r>
    </w:p>
    <w:p w14:paraId="773CE8B1" w14:textId="0D33E523" w:rsidR="00425C11" w:rsidRPr="00425C11" w:rsidRDefault="00425C11" w:rsidP="00425C11">
      <w:pPr>
        <w:jc w:val="both"/>
        <w:rPr>
          <w:lang w:val="it-IT"/>
        </w:rPr>
      </w:pPr>
      <w:r w:rsidRPr="00425C11">
        <w:rPr>
          <w:lang w:val="it-IT"/>
        </w:rPr>
        <w:t xml:space="preserve">Per tutti i vaccini, gli studi autorizzativi randomizzati hanno dimostrato un'elevata efficacia rispetto a un endpoint primario di COVID-19 sintomatico. L'efficacia di questi vaccini nel ridurre i tassi di morbilità e mortalità dalla diagnosi di SARS-CoV-2 è stata confermata </w:t>
      </w:r>
      <w:r w:rsidR="00F31B37">
        <w:rPr>
          <w:lang w:val="it-IT"/>
        </w:rPr>
        <w:t>in</w:t>
      </w:r>
      <w:r w:rsidRPr="00425C11">
        <w:rPr>
          <w:lang w:val="it-IT"/>
        </w:rPr>
        <w:t xml:space="preserve"> </w:t>
      </w:r>
      <w:r w:rsidR="00F31B37">
        <w:rPr>
          <w:lang w:val="it-IT"/>
        </w:rPr>
        <w:t>studi</w:t>
      </w:r>
      <w:r w:rsidR="00F31B37" w:rsidRPr="00425C11">
        <w:rPr>
          <w:lang w:val="it-IT"/>
        </w:rPr>
        <w:t xml:space="preserve"> </w:t>
      </w:r>
      <w:r w:rsidRPr="00425C11">
        <w:rPr>
          <w:lang w:val="it-IT"/>
        </w:rPr>
        <w:t xml:space="preserve">osservazionali </w:t>
      </w:r>
      <w:r w:rsidR="00F31B37">
        <w:rPr>
          <w:lang w:val="it-IT"/>
        </w:rPr>
        <w:t xml:space="preserve">basati su dati </w:t>
      </w:r>
      <w:r w:rsidRPr="00425C11">
        <w:rPr>
          <w:lang w:val="it-IT"/>
        </w:rPr>
        <w:t>raccolti da</w:t>
      </w:r>
      <w:r w:rsidR="00F31B37">
        <w:rPr>
          <w:lang w:val="it-IT"/>
        </w:rPr>
        <w:t>ll’inizio della campagna vaccinale</w:t>
      </w:r>
      <w:r w:rsidRPr="00425C11">
        <w:rPr>
          <w:lang w:val="it-IT"/>
        </w:rPr>
        <w:t xml:space="preserve"> (1-7). Recenti studi osservazionali hanno anche tentato di affrontare le sfide che rimangono sul potenziale declino dell'immunità protettiva indotta dal vaccino e una possibile diminuzione dell'efficacia contro le varianti virali che destano preoccupazione (VOC) (8).</w:t>
      </w:r>
    </w:p>
    <w:p w14:paraId="76B7D0AC" w14:textId="77777777" w:rsidR="00425C11" w:rsidRPr="00425C11" w:rsidRDefault="00425C11" w:rsidP="00425C11">
      <w:pPr>
        <w:jc w:val="both"/>
        <w:rPr>
          <w:lang w:val="it-IT"/>
        </w:rPr>
      </w:pPr>
      <w:r w:rsidRPr="00425C11">
        <w:rPr>
          <w:lang w:val="it-IT"/>
        </w:rPr>
        <w:t>Per quanto riguarda le varianti di interesse (VOI), l'Italia è stata caratterizzata da una fase epidemica con una predominanza della variante alfa nei primi sei mesi del 2021, una fase di transizione da metà giugno a metà luglio in cui le varianti alfa e delta erano entrambe in gran parte circolanti, e una fase successiva caratterizzata dalla predominanza della variante delta (9).</w:t>
      </w:r>
    </w:p>
    <w:p w14:paraId="04CD58CA" w14:textId="77777777" w:rsidR="00425C11" w:rsidRPr="00425C11" w:rsidRDefault="00425C11" w:rsidP="00425C11">
      <w:pPr>
        <w:jc w:val="both"/>
        <w:rPr>
          <w:lang w:val="it-IT"/>
        </w:rPr>
      </w:pPr>
      <w:r w:rsidRPr="00425C11">
        <w:rPr>
          <w:lang w:val="it-IT"/>
        </w:rPr>
        <w:t>Questo è il quarto rapporto sull'analisi combinata dei dati del Registro Nazionale delle Vaccinazioni (AVN) e del sistema nazionale di sorveglianza integrata COVID-19. Tale attività è ai sensi del Decreto Legge n. 2 del 14 gennaio 2021 che disciplina i sistemi informativi strumentali all'attuazione del piano strategico nazionale di vaccinazione per la prevenzione delle infezioni da SARS-CoV-2 (Art. 3, Paragrafo 7).</w:t>
      </w:r>
    </w:p>
    <w:p w14:paraId="54D3EC10" w14:textId="23B0DC56" w:rsidR="00425C11" w:rsidRPr="00425C11" w:rsidRDefault="00425C11" w:rsidP="00425C11">
      <w:pPr>
        <w:jc w:val="both"/>
        <w:rPr>
          <w:lang w:val="it-IT"/>
        </w:rPr>
      </w:pPr>
      <w:r w:rsidRPr="00425C11">
        <w:rPr>
          <w:lang w:val="it-IT"/>
        </w:rPr>
        <w:t xml:space="preserve">I rapporti precedenti si basavano esclusivamente sulla fase in cui predominava la variante alfa e stimavano che la massima efficacia (contro il rischio di qualsiasi diagnosi, </w:t>
      </w:r>
      <w:r w:rsidR="004E022D">
        <w:rPr>
          <w:lang w:val="it-IT"/>
        </w:rPr>
        <w:t>ricovero</w:t>
      </w:r>
      <w:r w:rsidR="004E022D" w:rsidRPr="00425C11">
        <w:rPr>
          <w:lang w:val="it-IT"/>
        </w:rPr>
        <w:t xml:space="preserve"> </w:t>
      </w:r>
      <w:r w:rsidRPr="00425C11">
        <w:rPr>
          <w:lang w:val="it-IT"/>
        </w:rPr>
        <w:t>e decesso da COVID-19) si era verificata a partire da 15-30 giorni dopo la somministrazione della seconda dose, stabilizzandosi fino a circa 5 mesi, massimo tempo di osservazione dello studio (7, 10).</w:t>
      </w:r>
    </w:p>
    <w:p w14:paraId="0596884F" w14:textId="744630D8" w:rsidR="008D16F8" w:rsidRPr="00425C11" w:rsidRDefault="00425C11" w:rsidP="00425C11">
      <w:pPr>
        <w:jc w:val="both"/>
        <w:rPr>
          <w:lang w:val="it-IT"/>
        </w:rPr>
      </w:pPr>
      <w:r w:rsidRPr="00425C11">
        <w:rPr>
          <w:lang w:val="it-IT"/>
        </w:rPr>
        <w:t xml:space="preserve">In questo </w:t>
      </w:r>
      <w:r w:rsidR="004E022D">
        <w:rPr>
          <w:lang w:val="it-IT"/>
        </w:rPr>
        <w:t>rapporto</w:t>
      </w:r>
      <w:r w:rsidRPr="00425C11">
        <w:rPr>
          <w:lang w:val="it-IT"/>
        </w:rPr>
        <w:t xml:space="preserve">, </w:t>
      </w:r>
      <w:r w:rsidR="004E022D">
        <w:rPr>
          <w:lang w:val="it-IT"/>
        </w:rPr>
        <w:t xml:space="preserve">si intende </w:t>
      </w:r>
      <w:r w:rsidRPr="00425C11">
        <w:rPr>
          <w:lang w:val="it-IT"/>
        </w:rPr>
        <w:t xml:space="preserve">fornire, sulla base di un tempo di follow-up più lungo e di un numero più elevato di individui vaccinati, una stima aggiornata del rischio di qualsiasi diagnosi di COVID-19, </w:t>
      </w:r>
      <w:r w:rsidR="004E022D">
        <w:rPr>
          <w:lang w:val="it-IT"/>
        </w:rPr>
        <w:t>ricovero</w:t>
      </w:r>
      <w:r w:rsidRPr="00425C11">
        <w:rPr>
          <w:lang w:val="it-IT"/>
        </w:rPr>
        <w:t xml:space="preserve">, ricovero in terapia intensiva, e decesso, in Italia, a diversi intervalli di tempo dalla vaccinazione, in individui che hanno completato il ciclo vaccinale con un vaccino a mRNA, sia nella popolazione generale </w:t>
      </w:r>
      <w:r w:rsidR="002C0498">
        <w:rPr>
          <w:lang w:val="it-IT"/>
        </w:rPr>
        <w:t>(nel complesso e</w:t>
      </w:r>
      <w:bookmarkStart w:id="0" w:name="_GoBack"/>
      <w:bookmarkEnd w:id="0"/>
      <w:r w:rsidR="00C91238">
        <w:rPr>
          <w:lang w:val="it-IT"/>
        </w:rPr>
        <w:t xml:space="preserve"> </w:t>
      </w:r>
      <w:r w:rsidR="002C0498" w:rsidRPr="00425C11">
        <w:rPr>
          <w:lang w:val="it-IT"/>
        </w:rPr>
        <w:t>stratificat</w:t>
      </w:r>
      <w:r w:rsidR="002C0498">
        <w:rPr>
          <w:lang w:val="it-IT"/>
        </w:rPr>
        <w:t>a</w:t>
      </w:r>
      <w:r w:rsidR="002C0498" w:rsidRPr="00425C11">
        <w:rPr>
          <w:lang w:val="it-IT"/>
        </w:rPr>
        <w:t xml:space="preserve"> </w:t>
      </w:r>
      <w:r w:rsidRPr="00425C11">
        <w:rPr>
          <w:lang w:val="it-IT"/>
        </w:rPr>
        <w:t>per fascia di età</w:t>
      </w:r>
      <w:r w:rsidR="004E022D">
        <w:rPr>
          <w:lang w:val="it-IT"/>
        </w:rPr>
        <w:t>)</w:t>
      </w:r>
      <w:r w:rsidR="002C0498">
        <w:rPr>
          <w:lang w:val="it-IT"/>
        </w:rPr>
        <w:t xml:space="preserve"> che per</w:t>
      </w:r>
      <w:r w:rsidRPr="00425C11">
        <w:rPr>
          <w:lang w:val="it-IT"/>
        </w:rPr>
        <w:t xml:space="preserve"> </w:t>
      </w:r>
      <w:r w:rsidR="00825175">
        <w:rPr>
          <w:lang w:val="it-IT"/>
        </w:rPr>
        <w:t>categorie</w:t>
      </w:r>
      <w:r w:rsidR="002C0498" w:rsidRPr="00425C11">
        <w:rPr>
          <w:lang w:val="it-IT"/>
        </w:rPr>
        <w:t xml:space="preserve"> </w:t>
      </w:r>
      <w:r w:rsidR="004E022D">
        <w:rPr>
          <w:lang w:val="it-IT"/>
        </w:rPr>
        <w:t>prioritari</w:t>
      </w:r>
      <w:r w:rsidR="00825175">
        <w:rPr>
          <w:lang w:val="it-IT"/>
        </w:rPr>
        <w:t>e</w:t>
      </w:r>
      <w:r w:rsidRPr="00425C11">
        <w:rPr>
          <w:lang w:val="it-IT"/>
        </w:rPr>
        <w:t xml:space="preserve"> </w:t>
      </w:r>
      <w:r w:rsidR="00825175">
        <w:rPr>
          <w:lang w:val="it-IT"/>
        </w:rPr>
        <w:t>per la</w:t>
      </w:r>
      <w:r w:rsidRPr="00425C11">
        <w:rPr>
          <w:lang w:val="it-IT"/>
        </w:rPr>
        <w:t xml:space="preserve"> vaccinazione e </w:t>
      </w:r>
      <w:r w:rsidR="004E022D">
        <w:rPr>
          <w:lang w:val="it-IT"/>
        </w:rPr>
        <w:t xml:space="preserve">per </w:t>
      </w:r>
      <w:r w:rsidRPr="00425C11">
        <w:rPr>
          <w:lang w:val="it-IT"/>
        </w:rPr>
        <w:t>fase epidemica.</w:t>
      </w:r>
    </w:p>
    <w:p w14:paraId="34B696BF" w14:textId="78E3AF35" w:rsidR="006D4CBB" w:rsidRPr="00425C11" w:rsidRDefault="006D4CBB">
      <w:pPr>
        <w:rPr>
          <w:b/>
          <w:bCs/>
          <w:lang w:val="it-IT"/>
        </w:rPr>
      </w:pPr>
      <w:r w:rsidRPr="00425C11">
        <w:rPr>
          <w:b/>
          <w:bCs/>
          <w:lang w:val="it-IT"/>
        </w:rPr>
        <w:br w:type="page"/>
      </w:r>
    </w:p>
    <w:p w14:paraId="56E65D58" w14:textId="7CCED2D2" w:rsidR="00DC1189" w:rsidRPr="00854170" w:rsidRDefault="00515384" w:rsidP="00C46EE4">
      <w:pPr>
        <w:shd w:val="clear" w:color="auto" w:fill="D0CECE" w:themeFill="background2" w:themeFillShade="E6"/>
        <w:jc w:val="both"/>
        <w:rPr>
          <w:b/>
          <w:bCs/>
          <w:sz w:val="28"/>
          <w:szCs w:val="28"/>
          <w:lang w:val="it-IT"/>
        </w:rPr>
      </w:pPr>
      <w:r w:rsidRPr="00854170">
        <w:rPr>
          <w:b/>
          <w:bCs/>
          <w:sz w:val="28"/>
          <w:szCs w:val="28"/>
          <w:lang w:val="it-IT"/>
        </w:rPr>
        <w:lastRenderedPageBreak/>
        <w:t>Nota metodologica</w:t>
      </w:r>
    </w:p>
    <w:p w14:paraId="5CD2EA2B" w14:textId="0C50A7B2" w:rsidR="006557BF" w:rsidRPr="00C1761C" w:rsidRDefault="00C67AA1">
      <w:pPr>
        <w:jc w:val="both"/>
        <w:rPr>
          <w:lang w:val="it-IT"/>
        </w:rPr>
      </w:pPr>
      <w:r w:rsidRPr="00BA6F44">
        <w:rPr>
          <w:lang w:val="it-IT"/>
        </w:rPr>
        <w:t>La sorveglianza nazionale integrat</w:t>
      </w:r>
      <w:r w:rsidR="00557769" w:rsidRPr="00BA6F44">
        <w:rPr>
          <w:lang w:val="it-IT"/>
        </w:rPr>
        <w:t>a</w:t>
      </w:r>
      <w:r w:rsidRPr="00BA6F44">
        <w:rPr>
          <w:lang w:val="it-IT"/>
        </w:rPr>
        <w:t xml:space="preserve"> COVID-19 raccoglie </w:t>
      </w:r>
      <w:r w:rsidR="00557769" w:rsidRPr="00BA6F44">
        <w:rPr>
          <w:lang w:val="it-IT"/>
        </w:rPr>
        <w:t xml:space="preserve">informazioni su ogni caso </w:t>
      </w:r>
      <w:r w:rsidR="00873C47" w:rsidRPr="00BA6F44">
        <w:rPr>
          <w:lang w:val="it-IT"/>
        </w:rPr>
        <w:t xml:space="preserve">confermato </w:t>
      </w:r>
      <w:r w:rsidR="000D4F34" w:rsidRPr="00BA6F44">
        <w:rPr>
          <w:lang w:val="it-IT"/>
        </w:rPr>
        <w:t>di COVID-19</w:t>
      </w:r>
      <w:r w:rsidR="00FB7E2D" w:rsidRPr="00BA6F44">
        <w:rPr>
          <w:lang w:val="it-IT"/>
        </w:rPr>
        <w:t xml:space="preserve"> definito come qualsiasi persona</w:t>
      </w:r>
      <w:r w:rsidR="00FF116A" w:rsidRPr="00BA6F44">
        <w:rPr>
          <w:lang w:val="it-IT"/>
        </w:rPr>
        <w:t>, indipendentemente da</w:t>
      </w:r>
      <w:r w:rsidR="00DA4E8C" w:rsidRPr="00BA6F44">
        <w:rPr>
          <w:lang w:val="it-IT"/>
        </w:rPr>
        <w:t>lla presenza o meno di sintomi,</w:t>
      </w:r>
      <w:r w:rsidR="00FB7E2D" w:rsidRPr="00BA6F44">
        <w:rPr>
          <w:lang w:val="it-IT"/>
        </w:rPr>
        <w:t xml:space="preserve"> </w:t>
      </w:r>
      <w:r w:rsidR="00E41D1F" w:rsidRPr="00BA6F44">
        <w:rPr>
          <w:lang w:val="it-IT"/>
        </w:rPr>
        <w:t xml:space="preserve">con </w:t>
      </w:r>
      <w:r w:rsidR="00FF116A" w:rsidRPr="00BA6F44">
        <w:rPr>
          <w:lang w:val="it-IT"/>
        </w:rPr>
        <w:t xml:space="preserve">una diagnosi </w:t>
      </w:r>
      <w:r w:rsidR="00BA6F44" w:rsidRPr="00BA6F44">
        <w:rPr>
          <w:lang w:val="it-IT"/>
        </w:rPr>
        <w:t xml:space="preserve">confermata </w:t>
      </w:r>
      <w:r w:rsidR="00BA6F44">
        <w:rPr>
          <w:lang w:val="it-IT"/>
        </w:rPr>
        <w:t xml:space="preserve">microbiologicamente </w:t>
      </w:r>
      <w:r w:rsidR="00067A3C" w:rsidRPr="00BA6F44">
        <w:rPr>
          <w:lang w:val="it-IT"/>
        </w:rPr>
        <w:t>di</w:t>
      </w:r>
      <w:r w:rsidR="00FF116A" w:rsidRPr="00BA6F44">
        <w:rPr>
          <w:lang w:val="it-IT"/>
        </w:rPr>
        <w:t xml:space="preserve"> </w:t>
      </w:r>
      <w:r w:rsidR="00873C47" w:rsidRPr="00BA6F44">
        <w:rPr>
          <w:lang w:val="it-IT"/>
        </w:rPr>
        <w:t>infezione</w:t>
      </w:r>
      <w:r w:rsidR="00BE1A6C" w:rsidRPr="00BA6F44">
        <w:rPr>
          <w:lang w:val="it-IT"/>
        </w:rPr>
        <w:t xml:space="preserve"> </w:t>
      </w:r>
      <w:r w:rsidR="00873C47" w:rsidRPr="00BA6F44">
        <w:rPr>
          <w:lang w:val="it-IT"/>
        </w:rPr>
        <w:t>da SARS-CoV-2</w:t>
      </w:r>
      <w:r w:rsidR="009B26CF">
        <w:rPr>
          <w:lang w:val="it-IT"/>
        </w:rPr>
        <w:t xml:space="preserve"> (11).</w:t>
      </w:r>
      <w:r w:rsidR="00873C47" w:rsidRPr="00BA6F44">
        <w:rPr>
          <w:lang w:val="it-IT"/>
        </w:rPr>
        <w:t xml:space="preserve"> </w:t>
      </w:r>
      <w:r w:rsidR="00DB4794" w:rsidRPr="000459C0">
        <w:rPr>
          <w:lang w:val="it-IT"/>
        </w:rPr>
        <w:t xml:space="preserve">I casi diagnosticati sono seguiti nel tempo </w:t>
      </w:r>
      <w:r w:rsidR="001566D2" w:rsidRPr="000459C0">
        <w:rPr>
          <w:lang w:val="it-IT"/>
        </w:rPr>
        <w:t>riportando eventuali ricoveri ospedalieri</w:t>
      </w:r>
      <w:r w:rsidR="000459C0" w:rsidRPr="000459C0">
        <w:rPr>
          <w:lang w:val="it-IT"/>
        </w:rPr>
        <w:t xml:space="preserve">, l’ingresso in terapia </w:t>
      </w:r>
      <w:r w:rsidR="004E022D" w:rsidRPr="000459C0">
        <w:rPr>
          <w:lang w:val="it-IT"/>
        </w:rPr>
        <w:t>intensiv</w:t>
      </w:r>
      <w:r w:rsidR="004E022D">
        <w:rPr>
          <w:lang w:val="it-IT"/>
        </w:rPr>
        <w:t>a</w:t>
      </w:r>
      <w:r w:rsidR="004E022D" w:rsidRPr="000459C0">
        <w:rPr>
          <w:lang w:val="it-IT"/>
        </w:rPr>
        <w:t xml:space="preserve"> </w:t>
      </w:r>
      <w:r w:rsidR="000459C0" w:rsidRPr="000459C0">
        <w:rPr>
          <w:lang w:val="it-IT"/>
        </w:rPr>
        <w:t xml:space="preserve">e </w:t>
      </w:r>
      <w:r w:rsidR="004E022D">
        <w:rPr>
          <w:lang w:val="it-IT"/>
        </w:rPr>
        <w:t>il decesso</w:t>
      </w:r>
      <w:r w:rsidR="000459C0" w:rsidRPr="000459C0">
        <w:rPr>
          <w:lang w:val="it-IT"/>
        </w:rPr>
        <w:t xml:space="preserve"> se asso</w:t>
      </w:r>
      <w:r w:rsidR="000459C0">
        <w:rPr>
          <w:lang w:val="it-IT"/>
        </w:rPr>
        <w:t xml:space="preserve">ciati </w:t>
      </w:r>
      <w:r w:rsidR="00C1761C">
        <w:rPr>
          <w:lang w:val="it-IT"/>
        </w:rPr>
        <w:t>alla diagnosi di COVID-19.</w:t>
      </w:r>
      <w:r w:rsidR="00C91238">
        <w:rPr>
          <w:lang w:val="it-IT"/>
        </w:rPr>
        <w:t xml:space="preserve"> </w:t>
      </w:r>
    </w:p>
    <w:p w14:paraId="3A435F1E" w14:textId="20F0F074" w:rsidR="003C380F" w:rsidRDefault="00DD1DBB" w:rsidP="006F751D">
      <w:pPr>
        <w:jc w:val="both"/>
        <w:rPr>
          <w:lang w:val="it-IT"/>
        </w:rPr>
      </w:pPr>
      <w:r w:rsidRPr="003C720B">
        <w:rPr>
          <w:lang w:val="it-IT"/>
        </w:rPr>
        <w:t xml:space="preserve">Informazioni </w:t>
      </w:r>
      <w:r w:rsidR="007D2CD4" w:rsidRPr="003C720B">
        <w:rPr>
          <w:lang w:val="it-IT"/>
        </w:rPr>
        <w:t xml:space="preserve">sulle persone vaccinate sono invece raccolte attraverso l’Anagrafe Nazionale Vaccinale </w:t>
      </w:r>
      <w:r w:rsidR="003C720B" w:rsidRPr="003C720B">
        <w:rPr>
          <w:lang w:val="it-IT"/>
        </w:rPr>
        <w:t>(AVN) de</w:t>
      </w:r>
      <w:r w:rsidR="003C720B">
        <w:rPr>
          <w:lang w:val="it-IT"/>
        </w:rPr>
        <w:t>l Ministero della Salu</w:t>
      </w:r>
      <w:r w:rsidR="003F1C51">
        <w:rPr>
          <w:lang w:val="it-IT"/>
        </w:rPr>
        <w:t xml:space="preserve">te </w:t>
      </w:r>
      <w:r w:rsidR="006557BF" w:rsidRPr="003C720B">
        <w:rPr>
          <w:rFonts w:ascii="Calibri" w:eastAsia="Calibri" w:hAnsi="Calibri" w:cs="Calibri"/>
          <w:color w:val="000000" w:themeColor="text1"/>
          <w:lang w:val="it-IT"/>
        </w:rPr>
        <w:t>(</w:t>
      </w:r>
      <w:r w:rsidR="3BDF70DE" w:rsidRPr="003C720B">
        <w:rPr>
          <w:rFonts w:ascii="Calibri" w:eastAsia="Calibri" w:hAnsi="Calibri" w:cs="Calibri"/>
          <w:color w:val="000000" w:themeColor="text1"/>
          <w:lang w:val="it-IT"/>
        </w:rPr>
        <w:t>12</w:t>
      </w:r>
      <w:r w:rsidR="006557BF" w:rsidRPr="003C720B">
        <w:rPr>
          <w:rFonts w:ascii="Calibri" w:eastAsia="Calibri" w:hAnsi="Calibri" w:cs="Calibri"/>
          <w:color w:val="000000" w:themeColor="text1"/>
          <w:lang w:val="it-IT"/>
        </w:rPr>
        <w:t>)</w:t>
      </w:r>
      <w:r w:rsidR="00594B51" w:rsidRPr="003C720B">
        <w:rPr>
          <w:lang w:val="it-IT"/>
        </w:rPr>
        <w:t>.</w:t>
      </w:r>
      <w:r w:rsidR="003C380F" w:rsidRPr="003C720B">
        <w:rPr>
          <w:lang w:val="it-IT"/>
        </w:rPr>
        <w:t xml:space="preserve"> </w:t>
      </w:r>
      <w:r w:rsidR="00E5446D">
        <w:rPr>
          <w:lang w:val="it-IT"/>
        </w:rPr>
        <w:t>L’</w:t>
      </w:r>
      <w:r w:rsidR="003F1C51" w:rsidRPr="001D4402">
        <w:rPr>
          <w:lang w:val="it-IT"/>
        </w:rPr>
        <w:t xml:space="preserve">AVN </w:t>
      </w:r>
      <w:r w:rsidR="00575454" w:rsidRPr="001D4402">
        <w:rPr>
          <w:lang w:val="it-IT"/>
        </w:rPr>
        <w:t>registra date di somministrazione e vaccino</w:t>
      </w:r>
      <w:r w:rsidR="001417E6" w:rsidRPr="001D4402">
        <w:rPr>
          <w:lang w:val="it-IT"/>
        </w:rPr>
        <w:t xml:space="preserve"> ricevuto, dati </w:t>
      </w:r>
      <w:r w:rsidR="00C02BF7" w:rsidRPr="001D4402">
        <w:rPr>
          <w:lang w:val="it-IT"/>
        </w:rPr>
        <w:t>demo</w:t>
      </w:r>
      <w:r w:rsidR="001417E6" w:rsidRPr="001D4402">
        <w:rPr>
          <w:lang w:val="it-IT"/>
        </w:rPr>
        <w:t xml:space="preserve">grafici </w:t>
      </w:r>
      <w:r w:rsidR="003C380F" w:rsidRPr="001D4402">
        <w:rPr>
          <w:lang w:val="it-IT"/>
        </w:rPr>
        <w:t>(</w:t>
      </w:r>
      <w:r w:rsidR="00C02BF7" w:rsidRPr="001D4402">
        <w:rPr>
          <w:lang w:val="it-IT"/>
        </w:rPr>
        <w:t>ad esempio</w:t>
      </w:r>
      <w:r w:rsidR="003C380F" w:rsidRPr="001D4402">
        <w:rPr>
          <w:lang w:val="it-IT"/>
        </w:rPr>
        <w:t xml:space="preserve">, </w:t>
      </w:r>
      <w:r w:rsidR="00C02BF7" w:rsidRPr="001D4402">
        <w:rPr>
          <w:lang w:val="it-IT"/>
        </w:rPr>
        <w:t xml:space="preserve">età, sesso, regione </w:t>
      </w:r>
      <w:r w:rsidR="004044C3" w:rsidRPr="001D4402">
        <w:rPr>
          <w:lang w:val="it-IT"/>
        </w:rPr>
        <w:t>di residenza e di somministrazione</w:t>
      </w:r>
      <w:r w:rsidR="003C380F" w:rsidRPr="001D4402">
        <w:rPr>
          <w:lang w:val="it-IT"/>
        </w:rPr>
        <w:t xml:space="preserve">), </w:t>
      </w:r>
      <w:r w:rsidR="00A91427">
        <w:rPr>
          <w:lang w:val="it-IT"/>
        </w:rPr>
        <w:t>categorie prioritarie per la vaccinazione</w:t>
      </w:r>
      <w:r w:rsidR="001D4402">
        <w:rPr>
          <w:lang w:val="it-IT"/>
        </w:rPr>
        <w:t xml:space="preserve"> </w:t>
      </w:r>
      <w:r w:rsidR="008F091E">
        <w:rPr>
          <w:lang w:val="it-IT"/>
        </w:rPr>
        <w:t xml:space="preserve">quali, ad esempio: </w:t>
      </w:r>
      <w:r w:rsidR="00C560BD">
        <w:rPr>
          <w:lang w:val="it-IT"/>
        </w:rPr>
        <w:t xml:space="preserve">operatore sanitario, </w:t>
      </w:r>
      <w:r w:rsidR="0030020C">
        <w:rPr>
          <w:lang w:val="it-IT"/>
        </w:rPr>
        <w:t xml:space="preserve">residenza in una struttura assistenziale (es: RSA, casa di cura), </w:t>
      </w:r>
      <w:r w:rsidR="00964BDF">
        <w:rPr>
          <w:lang w:val="it-IT"/>
        </w:rPr>
        <w:t xml:space="preserve">personale scolastico, </w:t>
      </w:r>
      <w:r w:rsidR="00C7273A">
        <w:rPr>
          <w:lang w:val="it-IT"/>
        </w:rPr>
        <w:t xml:space="preserve">appartenenza alle forze armate, </w:t>
      </w:r>
      <w:r w:rsidR="00894B02">
        <w:rPr>
          <w:lang w:val="it-IT"/>
        </w:rPr>
        <w:t>svolgimento di attività lavorative</w:t>
      </w:r>
      <w:r w:rsidR="00C62936">
        <w:rPr>
          <w:lang w:val="it-IT"/>
        </w:rPr>
        <w:t xml:space="preserve"> “essenziali”</w:t>
      </w:r>
      <w:r w:rsidR="00135FFC">
        <w:rPr>
          <w:lang w:val="it-IT"/>
        </w:rPr>
        <w:t>, presenza di comorbidità</w:t>
      </w:r>
      <w:r w:rsidR="00DF18D3">
        <w:rPr>
          <w:lang w:val="it-IT"/>
        </w:rPr>
        <w:t xml:space="preserve"> e </w:t>
      </w:r>
      <w:r w:rsidR="001709BD">
        <w:rPr>
          <w:lang w:val="it-IT"/>
        </w:rPr>
        <w:t>di immunodepressione</w:t>
      </w:r>
      <w:r w:rsidR="003A6A29" w:rsidRPr="001D4402">
        <w:rPr>
          <w:lang w:val="it-IT"/>
        </w:rPr>
        <w:t>.</w:t>
      </w:r>
      <w:r w:rsidR="00980620" w:rsidRPr="001D4402">
        <w:rPr>
          <w:lang w:val="it-IT"/>
        </w:rPr>
        <w:t xml:space="preserve"> </w:t>
      </w:r>
    </w:p>
    <w:p w14:paraId="46CFB3BE" w14:textId="3B390850" w:rsidR="00D94AFC" w:rsidRPr="001D4402" w:rsidRDefault="00D94AFC" w:rsidP="006F751D">
      <w:pPr>
        <w:jc w:val="both"/>
        <w:rPr>
          <w:lang w:val="it-IT"/>
        </w:rPr>
      </w:pPr>
      <w:r w:rsidRPr="00D94AFC">
        <w:rPr>
          <w:lang w:val="it-IT"/>
        </w:rPr>
        <w:t xml:space="preserve">I dati presentati in </w:t>
      </w:r>
      <w:r w:rsidR="00357B97">
        <w:rPr>
          <w:lang w:val="it-IT"/>
        </w:rPr>
        <w:t xml:space="preserve">questo </w:t>
      </w:r>
      <w:r w:rsidRPr="00D94AFC">
        <w:rPr>
          <w:lang w:val="it-IT"/>
        </w:rPr>
        <w:t xml:space="preserve">rapporto sono ricavati da un’analisi congiunta </w:t>
      </w:r>
      <w:r>
        <w:rPr>
          <w:lang w:val="it-IT"/>
        </w:rPr>
        <w:t>d</w:t>
      </w:r>
      <w:r w:rsidR="00E5446D">
        <w:rPr>
          <w:lang w:val="it-IT"/>
        </w:rPr>
        <w:t>ell’</w:t>
      </w:r>
      <w:r>
        <w:rPr>
          <w:lang w:val="it-IT"/>
        </w:rPr>
        <w:t xml:space="preserve">AVN e </w:t>
      </w:r>
      <w:r w:rsidR="00357B97">
        <w:rPr>
          <w:lang w:val="it-IT"/>
        </w:rPr>
        <w:t>della Sorveglianza Integrata COVID-19</w:t>
      </w:r>
      <w:r w:rsidRPr="00D94AFC">
        <w:rPr>
          <w:lang w:val="it-IT"/>
        </w:rPr>
        <w:t xml:space="preserve">, contenente le informazioni relative alle vaccinazioni anti COVID-19. Tale attività è </w:t>
      </w:r>
      <w:r w:rsidR="004D6548">
        <w:rPr>
          <w:lang w:val="it-IT"/>
        </w:rPr>
        <w:t>resa</w:t>
      </w:r>
      <w:r w:rsidRPr="00D94AFC">
        <w:rPr>
          <w:lang w:val="it-IT"/>
        </w:rPr>
        <w:t xml:space="preserve"> possibile </w:t>
      </w:r>
      <w:r w:rsidR="004D6548">
        <w:rPr>
          <w:lang w:val="it-IT"/>
        </w:rPr>
        <w:t xml:space="preserve">dal </w:t>
      </w:r>
      <w:r w:rsidRPr="00D94AFC">
        <w:rPr>
          <w:lang w:val="it-IT"/>
        </w:rPr>
        <w:t>Decreto legge 14 gennaio 2021 n. 2, che disciplina i sistemi informativi funzionali all'implementazione del Piano strategico nazionale dei vaccini per la prevenzione delle infezioni da SARS-CoV-2</w:t>
      </w:r>
      <w:r w:rsidR="004D6548">
        <w:rPr>
          <w:lang w:val="it-IT"/>
        </w:rPr>
        <w:t>.</w:t>
      </w:r>
      <w:r w:rsidR="00CA71A4">
        <w:rPr>
          <w:lang w:val="it-IT"/>
        </w:rPr>
        <w:t xml:space="preserve"> </w:t>
      </w:r>
    </w:p>
    <w:p w14:paraId="70604CDD" w14:textId="4E5730D4" w:rsidR="003345DF" w:rsidRPr="00462E82" w:rsidRDefault="003345DF" w:rsidP="003345DF">
      <w:pPr>
        <w:jc w:val="both"/>
        <w:rPr>
          <w:lang w:val="it-IT"/>
        </w:rPr>
      </w:pPr>
      <w:r w:rsidRPr="00462E82">
        <w:rPr>
          <w:lang w:val="it-IT"/>
        </w:rPr>
        <w:t xml:space="preserve">Le analisi di seguito riportate riguardano le persone a cui è stata somministrata </w:t>
      </w:r>
      <w:r w:rsidR="00A91427">
        <w:rPr>
          <w:lang w:val="it-IT"/>
        </w:rPr>
        <w:t xml:space="preserve">la </w:t>
      </w:r>
      <w:r w:rsidR="00122BB2">
        <w:rPr>
          <w:lang w:val="it-IT"/>
        </w:rPr>
        <w:t xml:space="preserve">prima </w:t>
      </w:r>
      <w:r w:rsidR="00F63BD3">
        <w:rPr>
          <w:lang w:val="it-IT"/>
        </w:rPr>
        <w:t xml:space="preserve">dose </w:t>
      </w:r>
      <w:r w:rsidR="00A91427">
        <w:rPr>
          <w:lang w:val="it-IT"/>
        </w:rPr>
        <w:t xml:space="preserve">di </w:t>
      </w:r>
      <w:r w:rsidRPr="00462E82">
        <w:rPr>
          <w:lang w:val="it-IT"/>
        </w:rPr>
        <w:t xml:space="preserve">un vaccino </w:t>
      </w:r>
      <w:r w:rsidR="00F854DA">
        <w:rPr>
          <w:lang w:val="it-IT"/>
        </w:rPr>
        <w:t xml:space="preserve">a mRNA </w:t>
      </w:r>
      <w:r w:rsidRPr="00462E82">
        <w:rPr>
          <w:lang w:val="it-IT"/>
        </w:rPr>
        <w:t xml:space="preserve">anti COVID-19, approvato e distribuito nel territorio nazionale a partire dal 27 dicembre 2020. Le informazioni relative alla diagnosi di COVID-19 sono state ottenute tramite record linkage tra </w:t>
      </w:r>
      <w:r w:rsidR="00E5446D">
        <w:rPr>
          <w:lang w:val="it-IT"/>
        </w:rPr>
        <w:t>l’</w:t>
      </w:r>
      <w:r w:rsidR="00F854DA">
        <w:rPr>
          <w:lang w:val="it-IT"/>
        </w:rPr>
        <w:t xml:space="preserve">AVN </w:t>
      </w:r>
      <w:r w:rsidRPr="00462E82">
        <w:rPr>
          <w:lang w:val="it-IT"/>
        </w:rPr>
        <w:t>(aggiornata al 1</w:t>
      </w:r>
      <w:r w:rsidR="00F854DA">
        <w:rPr>
          <w:lang w:val="it-IT"/>
        </w:rPr>
        <w:t>5</w:t>
      </w:r>
      <w:r w:rsidRPr="00462E82">
        <w:rPr>
          <w:lang w:val="it-IT"/>
        </w:rPr>
        <w:t>.0</w:t>
      </w:r>
      <w:r w:rsidR="00F854DA">
        <w:rPr>
          <w:lang w:val="it-IT"/>
        </w:rPr>
        <w:t>9</w:t>
      </w:r>
      <w:r w:rsidRPr="00462E82">
        <w:rPr>
          <w:lang w:val="it-IT"/>
        </w:rPr>
        <w:t>.2021) e il sistema di sorveglianza integrata COVID-19 (aggiornato al 1</w:t>
      </w:r>
      <w:r w:rsidR="00D20F1F">
        <w:rPr>
          <w:lang w:val="it-IT"/>
        </w:rPr>
        <w:t>5</w:t>
      </w:r>
      <w:r w:rsidR="00A91427">
        <w:rPr>
          <w:lang w:val="it-IT"/>
        </w:rPr>
        <w:t>/</w:t>
      </w:r>
      <w:r w:rsidRPr="00462E82">
        <w:rPr>
          <w:lang w:val="it-IT"/>
        </w:rPr>
        <w:t>0</w:t>
      </w:r>
      <w:r w:rsidR="00D20F1F">
        <w:rPr>
          <w:lang w:val="it-IT"/>
        </w:rPr>
        <w:t>9</w:t>
      </w:r>
      <w:r w:rsidR="00A91427">
        <w:rPr>
          <w:lang w:val="it-IT"/>
        </w:rPr>
        <w:t>/</w:t>
      </w:r>
      <w:r w:rsidRPr="00462E82">
        <w:rPr>
          <w:lang w:val="it-IT"/>
        </w:rPr>
        <w:t xml:space="preserve">2021). </w:t>
      </w:r>
    </w:p>
    <w:p w14:paraId="3971B29F" w14:textId="02C72CC2" w:rsidR="003345DF" w:rsidRPr="00462E82" w:rsidRDefault="003345DF" w:rsidP="003345DF">
      <w:pPr>
        <w:jc w:val="both"/>
        <w:rPr>
          <w:lang w:val="it-IT"/>
        </w:rPr>
      </w:pPr>
      <w:r w:rsidRPr="00462E82">
        <w:rPr>
          <w:lang w:val="it-IT"/>
        </w:rPr>
        <w:t>L’analisi ha valutato il tasso di incidenza di diagnosi di infezione da SARS-CoV-2, di ricovero, ammissione in terapia intensiva e decesso</w:t>
      </w:r>
      <w:r w:rsidR="00EA6170">
        <w:rPr>
          <w:lang w:val="it-IT"/>
        </w:rPr>
        <w:t xml:space="preserve"> successivi a diagnosi di COVID-19</w:t>
      </w:r>
      <w:r w:rsidRPr="00462E82">
        <w:rPr>
          <w:lang w:val="it-IT"/>
        </w:rPr>
        <w:t xml:space="preserve">. </w:t>
      </w:r>
    </w:p>
    <w:p w14:paraId="5622BEFE" w14:textId="3C8787A6" w:rsidR="00FF0D7F" w:rsidRDefault="003345DF" w:rsidP="00374A8C">
      <w:pPr>
        <w:jc w:val="both"/>
        <w:rPr>
          <w:lang w:val="it-IT"/>
        </w:rPr>
      </w:pPr>
      <w:r w:rsidRPr="00462E82">
        <w:rPr>
          <w:lang w:val="it-IT"/>
        </w:rPr>
        <w:t>Sono stati esclusi tutti i soggetti che avevano una diagnosi di infezione SARS-CoV-2 con data precedente a quella della prima vaccinazione. Inoltre, da tutte le analisi sono state escluse le persone vaccinate che non avevano un tempo di osservazione (follow-up) congruo per sviluppa</w:t>
      </w:r>
      <w:r w:rsidR="00A91427">
        <w:rPr>
          <w:lang w:val="it-IT"/>
        </w:rPr>
        <w:t>re</w:t>
      </w:r>
      <w:r w:rsidRPr="00462E82">
        <w:rPr>
          <w:lang w:val="it-IT"/>
        </w:rPr>
        <w:t xml:space="preserve"> gli eventi in studio ed essere stati notificati al sistema di sorveglianza. </w:t>
      </w:r>
    </w:p>
    <w:p w14:paraId="69B44EE2" w14:textId="2DF5A7F9" w:rsidR="00911888" w:rsidRPr="00BB5023" w:rsidRDefault="003345DF" w:rsidP="006F751D">
      <w:pPr>
        <w:jc w:val="both"/>
        <w:rPr>
          <w:lang w:val="it-IT"/>
        </w:rPr>
      </w:pPr>
      <w:r w:rsidRPr="00462E82">
        <w:rPr>
          <w:lang w:val="it-IT"/>
        </w:rPr>
        <w:t xml:space="preserve">Nella </w:t>
      </w:r>
      <w:r w:rsidRPr="00B166C8">
        <w:rPr>
          <w:b/>
          <w:bCs/>
          <w:lang w:val="it-IT"/>
        </w:rPr>
        <w:t>Figura 1</w:t>
      </w:r>
      <w:r w:rsidRPr="00462E82">
        <w:rPr>
          <w:lang w:val="it-IT"/>
        </w:rPr>
        <w:t xml:space="preserve"> sono presentati i dettagli </w:t>
      </w:r>
      <w:r w:rsidR="00A91427">
        <w:rPr>
          <w:lang w:val="it-IT"/>
        </w:rPr>
        <w:t xml:space="preserve">della </w:t>
      </w:r>
      <w:r w:rsidRPr="00462E82">
        <w:rPr>
          <w:lang w:val="it-IT"/>
        </w:rPr>
        <w:t>definizione dei tempi di selezione delle popolazioni in studio.</w:t>
      </w:r>
      <w:r w:rsidR="00C4375B">
        <w:rPr>
          <w:lang w:val="it-IT"/>
        </w:rPr>
        <w:t xml:space="preserve"> </w:t>
      </w:r>
      <w:r w:rsidR="00E5446D">
        <w:rPr>
          <w:lang w:val="it-IT"/>
        </w:rPr>
        <w:t>Il</w:t>
      </w:r>
      <w:r w:rsidR="00BB7789" w:rsidRPr="001F59BC">
        <w:rPr>
          <w:lang w:val="it-IT"/>
        </w:rPr>
        <w:t xml:space="preserve"> tasso di </w:t>
      </w:r>
      <w:r w:rsidR="00FD5291" w:rsidRPr="001F59BC">
        <w:rPr>
          <w:lang w:val="it-IT"/>
        </w:rPr>
        <w:t>diagnosi di COVID-19</w:t>
      </w:r>
      <w:r w:rsidR="008742EB">
        <w:rPr>
          <w:lang w:val="it-IT"/>
        </w:rPr>
        <w:t xml:space="preserve"> (sia sintomatico che asintomatico)</w:t>
      </w:r>
      <w:r w:rsidR="00FF0D7F" w:rsidRPr="001F59BC">
        <w:rPr>
          <w:lang w:val="it-IT"/>
        </w:rPr>
        <w:t xml:space="preserve"> </w:t>
      </w:r>
      <w:r w:rsidR="001F7D36" w:rsidRPr="001F59BC">
        <w:rPr>
          <w:lang w:val="it-IT"/>
        </w:rPr>
        <w:t xml:space="preserve">è stato calcolato fino al 29 agosto </w:t>
      </w:r>
      <w:r w:rsidR="00E505D9" w:rsidRPr="001F59BC">
        <w:rPr>
          <w:lang w:val="it-IT"/>
        </w:rPr>
        <w:t>e ha considerat</w:t>
      </w:r>
      <w:r w:rsidR="00891244">
        <w:rPr>
          <w:lang w:val="it-IT"/>
        </w:rPr>
        <w:t>o</w:t>
      </w:r>
      <w:r w:rsidR="00E505D9" w:rsidRPr="001F59BC">
        <w:rPr>
          <w:lang w:val="it-IT"/>
        </w:rPr>
        <w:t xml:space="preserve"> tutte le persone vaccinate </w:t>
      </w:r>
      <w:r w:rsidR="00A91427">
        <w:rPr>
          <w:lang w:val="it-IT"/>
        </w:rPr>
        <w:t xml:space="preserve">con </w:t>
      </w:r>
      <w:r w:rsidR="001F59BC" w:rsidRPr="001F59BC">
        <w:rPr>
          <w:lang w:val="it-IT"/>
        </w:rPr>
        <w:t>al</w:t>
      </w:r>
      <w:r w:rsidR="001F59BC">
        <w:rPr>
          <w:lang w:val="it-IT"/>
        </w:rPr>
        <w:t>meno una dose entro il 15</w:t>
      </w:r>
      <w:r w:rsidR="00FF0D7F" w:rsidRPr="001F59BC">
        <w:rPr>
          <w:lang w:val="it-IT"/>
        </w:rPr>
        <w:t xml:space="preserve"> </w:t>
      </w:r>
      <w:r w:rsidR="00E5446D">
        <w:rPr>
          <w:lang w:val="it-IT"/>
        </w:rPr>
        <w:t>a</w:t>
      </w:r>
      <w:r w:rsidR="001F59BC">
        <w:rPr>
          <w:lang w:val="it-IT"/>
        </w:rPr>
        <w:t>gosto</w:t>
      </w:r>
      <w:r w:rsidR="00A91427">
        <w:rPr>
          <w:lang w:val="it-IT"/>
        </w:rPr>
        <w:t>,</w:t>
      </w:r>
      <w:r w:rsidR="00A86661">
        <w:rPr>
          <w:lang w:val="it-IT"/>
        </w:rPr>
        <w:t xml:space="preserve"> al fine di avere un tempo di osservazione </w:t>
      </w:r>
      <w:r w:rsidR="00A7153E">
        <w:rPr>
          <w:lang w:val="it-IT"/>
        </w:rPr>
        <w:t>di almeno</w:t>
      </w:r>
      <w:r w:rsidR="00A86661">
        <w:rPr>
          <w:lang w:val="it-IT"/>
        </w:rPr>
        <w:t xml:space="preserve"> 14 giorni</w:t>
      </w:r>
      <w:r w:rsidR="0033279E">
        <w:rPr>
          <w:lang w:val="it-IT"/>
        </w:rPr>
        <w:t xml:space="preserve">. </w:t>
      </w:r>
      <w:r w:rsidR="00891244">
        <w:rPr>
          <w:lang w:val="it-IT"/>
        </w:rPr>
        <w:t>Inoltre, i</w:t>
      </w:r>
      <w:r w:rsidR="000D464B" w:rsidRPr="00503894">
        <w:rPr>
          <w:lang w:val="it-IT"/>
        </w:rPr>
        <w:t xml:space="preserve"> dati utilizzati sono stati estratti il 15 settembre </w:t>
      </w:r>
      <w:r w:rsidR="00A91427">
        <w:rPr>
          <w:lang w:val="it-IT"/>
        </w:rPr>
        <w:t xml:space="preserve">per </w:t>
      </w:r>
      <w:r w:rsidR="00503894" w:rsidRPr="00503894">
        <w:rPr>
          <w:lang w:val="it-IT"/>
        </w:rPr>
        <w:t>garanti</w:t>
      </w:r>
      <w:r w:rsidR="00891244">
        <w:rPr>
          <w:lang w:val="it-IT"/>
        </w:rPr>
        <w:t>re</w:t>
      </w:r>
      <w:r w:rsidR="00503894" w:rsidRPr="00503894">
        <w:rPr>
          <w:lang w:val="it-IT"/>
        </w:rPr>
        <w:t xml:space="preserve"> </w:t>
      </w:r>
      <w:r w:rsidR="00503894">
        <w:rPr>
          <w:lang w:val="it-IT"/>
        </w:rPr>
        <w:t xml:space="preserve">un </w:t>
      </w:r>
      <w:r w:rsidR="00891244">
        <w:rPr>
          <w:lang w:val="it-IT"/>
        </w:rPr>
        <w:t xml:space="preserve">elevato </w:t>
      </w:r>
      <w:r w:rsidR="00503894">
        <w:rPr>
          <w:lang w:val="it-IT"/>
        </w:rPr>
        <w:t xml:space="preserve">livello di completezza per le diagnosi </w:t>
      </w:r>
      <w:r w:rsidR="00F570BD">
        <w:rPr>
          <w:lang w:val="it-IT"/>
        </w:rPr>
        <w:t>effettuate entro il 29 agosto.</w:t>
      </w:r>
    </w:p>
    <w:p w14:paraId="08A997F8" w14:textId="690BCEEB" w:rsidR="00891244" w:rsidRPr="009D73AC" w:rsidRDefault="00A91427" w:rsidP="00891244">
      <w:pPr>
        <w:jc w:val="both"/>
        <w:rPr>
          <w:lang w:val="it-IT"/>
        </w:rPr>
      </w:pPr>
      <w:r>
        <w:rPr>
          <w:lang w:val="it-IT"/>
        </w:rPr>
        <w:t>L</w:t>
      </w:r>
      <w:r w:rsidR="008742EB" w:rsidRPr="007646AD">
        <w:rPr>
          <w:lang w:val="it-IT"/>
        </w:rPr>
        <w:t xml:space="preserve">e analisi </w:t>
      </w:r>
      <w:r w:rsidR="0099051A" w:rsidRPr="007646AD">
        <w:rPr>
          <w:lang w:val="it-IT"/>
        </w:rPr>
        <w:t>sulle diagnosi di COVID-1</w:t>
      </w:r>
      <w:r w:rsidR="00E5446D">
        <w:rPr>
          <w:lang w:val="it-IT"/>
        </w:rPr>
        <w:t>9</w:t>
      </w:r>
      <w:r w:rsidR="0099051A" w:rsidRPr="007646AD">
        <w:rPr>
          <w:lang w:val="it-IT"/>
        </w:rPr>
        <w:t xml:space="preserve"> </w:t>
      </w:r>
      <w:r w:rsidR="008C0808" w:rsidRPr="007646AD">
        <w:rPr>
          <w:lang w:val="it-IT"/>
        </w:rPr>
        <w:t xml:space="preserve">con conseguente </w:t>
      </w:r>
      <w:r w:rsidR="003C698E" w:rsidRPr="007646AD">
        <w:rPr>
          <w:lang w:val="it-IT"/>
        </w:rPr>
        <w:t xml:space="preserve">ricovero associato, </w:t>
      </w:r>
      <w:r w:rsidR="008C0808" w:rsidRPr="007646AD">
        <w:rPr>
          <w:lang w:val="it-IT"/>
        </w:rPr>
        <w:t xml:space="preserve">e/o con </w:t>
      </w:r>
      <w:r w:rsidR="003C698E" w:rsidRPr="007646AD">
        <w:rPr>
          <w:lang w:val="it-IT"/>
        </w:rPr>
        <w:t>ingress</w:t>
      </w:r>
      <w:r w:rsidR="008C0808" w:rsidRPr="007646AD">
        <w:rPr>
          <w:lang w:val="it-IT"/>
        </w:rPr>
        <w:t>o</w:t>
      </w:r>
      <w:r w:rsidR="003C698E" w:rsidRPr="007646AD">
        <w:rPr>
          <w:lang w:val="it-IT"/>
        </w:rPr>
        <w:t xml:space="preserve"> in terapia intensiva</w:t>
      </w:r>
      <w:r w:rsidR="008C0808" w:rsidRPr="007646AD">
        <w:rPr>
          <w:lang w:val="it-IT"/>
        </w:rPr>
        <w:t xml:space="preserve">, e/o con </w:t>
      </w:r>
      <w:r w:rsidR="006D7201" w:rsidRPr="007646AD">
        <w:rPr>
          <w:lang w:val="it-IT"/>
        </w:rPr>
        <w:t>decesso</w:t>
      </w:r>
      <w:r w:rsidR="007646AD" w:rsidRPr="007646AD">
        <w:rPr>
          <w:lang w:val="it-IT"/>
        </w:rPr>
        <w:t xml:space="preserve">, </w:t>
      </w:r>
      <w:r w:rsidR="0038755C">
        <w:rPr>
          <w:lang w:val="it-IT"/>
        </w:rPr>
        <w:t xml:space="preserve">sono </w:t>
      </w:r>
      <w:r w:rsidR="007646AD">
        <w:rPr>
          <w:lang w:val="it-IT"/>
        </w:rPr>
        <w:t>stat</w:t>
      </w:r>
      <w:r w:rsidR="0038755C">
        <w:rPr>
          <w:lang w:val="it-IT"/>
        </w:rPr>
        <w:t>e</w:t>
      </w:r>
      <w:r w:rsidR="007646AD">
        <w:rPr>
          <w:lang w:val="it-IT"/>
        </w:rPr>
        <w:t xml:space="preserve"> </w:t>
      </w:r>
      <w:r w:rsidR="0038755C">
        <w:rPr>
          <w:lang w:val="it-IT"/>
        </w:rPr>
        <w:t>effettuate su</w:t>
      </w:r>
      <w:r w:rsidR="007646AD">
        <w:rPr>
          <w:lang w:val="it-IT"/>
        </w:rPr>
        <w:t xml:space="preserve"> tutte le persone vaccinate </w:t>
      </w:r>
      <w:r w:rsidR="00ED7B10">
        <w:rPr>
          <w:lang w:val="it-IT"/>
        </w:rPr>
        <w:t>con a</w:t>
      </w:r>
      <w:r w:rsidR="0038755C">
        <w:rPr>
          <w:lang w:val="it-IT"/>
        </w:rPr>
        <w:t>l</w:t>
      </w:r>
      <w:r w:rsidR="00ED7B10">
        <w:rPr>
          <w:lang w:val="it-IT"/>
        </w:rPr>
        <w:t xml:space="preserve">meno una prima dose di vaccino entro </w:t>
      </w:r>
      <w:r w:rsidR="00730063">
        <w:rPr>
          <w:lang w:val="it-IT"/>
        </w:rPr>
        <w:t>il 18 lugli</w:t>
      </w:r>
      <w:r w:rsidR="008C0808" w:rsidRPr="007646AD">
        <w:rPr>
          <w:lang w:val="it-IT"/>
        </w:rPr>
        <w:t>o</w:t>
      </w:r>
      <w:r>
        <w:rPr>
          <w:lang w:val="it-IT"/>
        </w:rPr>
        <w:t xml:space="preserve">, </w:t>
      </w:r>
      <w:r w:rsidR="001C56F4" w:rsidRPr="001F4AF9">
        <w:rPr>
          <w:lang w:val="it-IT"/>
        </w:rPr>
        <w:t xml:space="preserve">al fine di avere almeno altri 28 giorni dalla diagnosi </w:t>
      </w:r>
      <w:r w:rsidR="001F4AF9" w:rsidRPr="001F4AF9">
        <w:rPr>
          <w:lang w:val="it-IT"/>
        </w:rPr>
        <w:t>per po</w:t>
      </w:r>
      <w:r w:rsidR="009D73AC">
        <w:rPr>
          <w:lang w:val="it-IT"/>
        </w:rPr>
        <w:t>ter</w:t>
      </w:r>
      <w:r w:rsidR="001F4AF9" w:rsidRPr="001F4AF9">
        <w:rPr>
          <w:lang w:val="it-IT"/>
        </w:rPr>
        <w:t xml:space="preserve"> osservare un peggioramento </w:t>
      </w:r>
      <w:r w:rsidR="001F4AF9">
        <w:rPr>
          <w:lang w:val="it-IT"/>
        </w:rPr>
        <w:t>del</w:t>
      </w:r>
      <w:r w:rsidR="00323F75">
        <w:rPr>
          <w:lang w:val="it-IT"/>
        </w:rPr>
        <w:t>le condizioni cliniche che richiedono ospedalizzazione e che possono portare al decesso</w:t>
      </w:r>
      <w:r w:rsidR="0046104F">
        <w:rPr>
          <w:lang w:val="it-IT"/>
        </w:rPr>
        <w:t xml:space="preserve"> (</w:t>
      </w:r>
      <w:r w:rsidR="0046104F" w:rsidRPr="00B166C8">
        <w:rPr>
          <w:b/>
          <w:bCs/>
          <w:lang w:val="it-IT"/>
        </w:rPr>
        <w:t>Figura 1</w:t>
      </w:r>
      <w:r w:rsidR="0046104F">
        <w:rPr>
          <w:lang w:val="it-IT"/>
        </w:rPr>
        <w:t>)</w:t>
      </w:r>
      <w:r w:rsidR="00323F75">
        <w:rPr>
          <w:lang w:val="it-IT"/>
        </w:rPr>
        <w:t xml:space="preserve">. </w:t>
      </w:r>
      <w:r w:rsidR="00901B8A" w:rsidRPr="009D73AC">
        <w:rPr>
          <w:lang w:val="it-IT"/>
        </w:rPr>
        <w:t xml:space="preserve">Le analisi sono state </w:t>
      </w:r>
      <w:r w:rsidR="009D73AC">
        <w:rPr>
          <w:lang w:val="it-IT"/>
        </w:rPr>
        <w:t xml:space="preserve">quindi </w:t>
      </w:r>
      <w:r w:rsidR="00901B8A" w:rsidRPr="009D73AC">
        <w:rPr>
          <w:lang w:val="it-IT"/>
        </w:rPr>
        <w:t>limitate a eventi avvenuti entro</w:t>
      </w:r>
      <w:r w:rsidR="009D73AC">
        <w:rPr>
          <w:lang w:val="it-IT"/>
        </w:rPr>
        <w:t xml:space="preserve"> 28 giorni dalla diagnosi </w:t>
      </w:r>
      <w:r w:rsidR="0015530A">
        <w:rPr>
          <w:lang w:val="it-IT"/>
        </w:rPr>
        <w:t xml:space="preserve">e che comunque includono oltre </w:t>
      </w:r>
      <w:r w:rsidR="00FE7B22">
        <w:rPr>
          <w:lang w:val="it-IT"/>
        </w:rPr>
        <w:t>il 90% dei ricoveri e circa il 90% dei decessi</w:t>
      </w:r>
      <w:r w:rsidR="00891244" w:rsidRPr="009D73AC">
        <w:rPr>
          <w:lang w:val="it-IT"/>
        </w:rPr>
        <w:t>.</w:t>
      </w:r>
    </w:p>
    <w:p w14:paraId="57895C60" w14:textId="10D16F15" w:rsidR="00DD2556" w:rsidRPr="009D73AC" w:rsidRDefault="00DD2556" w:rsidP="006F751D">
      <w:pPr>
        <w:autoSpaceDE w:val="0"/>
        <w:autoSpaceDN w:val="0"/>
        <w:adjustRightInd w:val="0"/>
        <w:spacing w:after="0" w:line="240" w:lineRule="auto"/>
        <w:jc w:val="both"/>
        <w:rPr>
          <w:bCs/>
          <w:lang w:val="it-IT"/>
        </w:rPr>
      </w:pPr>
    </w:p>
    <w:p w14:paraId="25D76410" w14:textId="77777777" w:rsidR="00FF0D7F" w:rsidRPr="009D73AC" w:rsidRDefault="00FF0D7F">
      <w:pPr>
        <w:rPr>
          <w:bCs/>
          <w:lang w:val="it-IT"/>
        </w:rPr>
      </w:pPr>
      <w:r w:rsidRPr="009D73AC">
        <w:rPr>
          <w:bCs/>
          <w:lang w:val="it-IT"/>
        </w:rPr>
        <w:br w:type="page"/>
      </w:r>
    </w:p>
    <w:p w14:paraId="40721DB5" w14:textId="056953FB" w:rsidR="006F3BD8" w:rsidRPr="006F3BD8" w:rsidRDefault="00BD5C21" w:rsidP="00AF0AE3">
      <w:pPr>
        <w:rPr>
          <w:lang w:val="it-IT"/>
        </w:rPr>
      </w:pPr>
      <w:r w:rsidRPr="009D73AC">
        <w:rPr>
          <w:b/>
          <w:bCs/>
          <w:lang w:val="it-IT"/>
        </w:rPr>
        <w:lastRenderedPageBreak/>
        <w:t>Figur</w:t>
      </w:r>
      <w:r w:rsidR="00FF0D7F" w:rsidRPr="009D73AC">
        <w:rPr>
          <w:b/>
          <w:bCs/>
          <w:lang w:val="it-IT"/>
        </w:rPr>
        <w:t>a</w:t>
      </w:r>
      <w:r w:rsidRPr="009D73AC">
        <w:rPr>
          <w:b/>
          <w:bCs/>
          <w:lang w:val="it-IT"/>
        </w:rPr>
        <w:t xml:space="preserve"> 1</w:t>
      </w:r>
      <w:r w:rsidRPr="009D73AC">
        <w:rPr>
          <w:lang w:val="it-IT"/>
        </w:rPr>
        <w:t xml:space="preserve">. </w:t>
      </w:r>
      <w:r w:rsidR="006F3BD8" w:rsidRPr="006F3BD8">
        <w:rPr>
          <w:lang w:val="it-IT"/>
        </w:rPr>
        <w:t>Definizione dei tempi di selezione delle popolazioni in studio per la valutazione di ciascun evento considerato</w:t>
      </w:r>
    </w:p>
    <w:p w14:paraId="415042A7" w14:textId="1253DE6D" w:rsidR="00BD5C21" w:rsidRDefault="00571722" w:rsidP="00E57727">
      <w:pPr>
        <w:spacing w:line="360" w:lineRule="auto"/>
        <w:jc w:val="center"/>
      </w:pPr>
      <w:r>
        <w:rPr>
          <w:noProof/>
          <w:lang w:val="it-IT" w:eastAsia="it-IT"/>
        </w:rPr>
        <w:drawing>
          <wp:inline distT="0" distB="0" distL="0" distR="0" wp14:anchorId="4E0CF38D" wp14:editId="37BF1A66">
            <wp:extent cx="6148800" cy="25380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48800" cy="2538000"/>
                    </a:xfrm>
                    <a:prstGeom prst="rect">
                      <a:avLst/>
                    </a:prstGeom>
                    <a:noFill/>
                  </pic:spPr>
                </pic:pic>
              </a:graphicData>
            </a:graphic>
          </wp:inline>
        </w:drawing>
      </w:r>
    </w:p>
    <w:p w14:paraId="73652D59" w14:textId="77777777" w:rsidR="00847DB2" w:rsidRDefault="00847DB2" w:rsidP="00AF0AE3">
      <w:pPr>
        <w:jc w:val="both"/>
        <w:rPr>
          <w:b/>
          <w:bCs/>
          <w:lang w:val="en-GB"/>
        </w:rPr>
      </w:pPr>
    </w:p>
    <w:p w14:paraId="6CFC8B01" w14:textId="51812142" w:rsidR="007A5948" w:rsidRPr="0079188E" w:rsidRDefault="00FE7B22" w:rsidP="00691EB9">
      <w:pPr>
        <w:spacing w:after="120" w:line="240" w:lineRule="auto"/>
        <w:jc w:val="both"/>
        <w:rPr>
          <w:lang w:val="it-IT"/>
        </w:rPr>
      </w:pPr>
      <w:r w:rsidRPr="0079188E">
        <w:rPr>
          <w:lang w:val="it-IT"/>
        </w:rPr>
        <w:t xml:space="preserve">La </w:t>
      </w:r>
      <w:r w:rsidR="00B166C8">
        <w:rPr>
          <w:b/>
          <w:bCs/>
          <w:lang w:val="it-IT"/>
        </w:rPr>
        <w:t>F</w:t>
      </w:r>
      <w:r w:rsidRPr="00B166C8">
        <w:rPr>
          <w:b/>
          <w:bCs/>
          <w:lang w:val="it-IT"/>
        </w:rPr>
        <w:t>igura 2</w:t>
      </w:r>
      <w:r w:rsidR="00407D28" w:rsidRPr="0079188E">
        <w:rPr>
          <w:lang w:val="it-IT"/>
        </w:rPr>
        <w:t xml:space="preserve">, fornisce uno schema del disegno dello studio e </w:t>
      </w:r>
      <w:r w:rsidR="0079188E">
        <w:rPr>
          <w:lang w:val="it-IT"/>
        </w:rPr>
        <w:t>riporta dettagli sui criteri di inclusione e di esclusione</w:t>
      </w:r>
      <w:r w:rsidR="00B166C8">
        <w:rPr>
          <w:lang w:val="it-IT"/>
        </w:rPr>
        <w:t xml:space="preserve">, nonché sul numero di </w:t>
      </w:r>
      <w:r w:rsidR="0031215D">
        <w:rPr>
          <w:lang w:val="it-IT"/>
        </w:rPr>
        <w:t>individui inclusi in ciascuna analisi e sui tempi di osservazione</w:t>
      </w:r>
      <w:r w:rsidR="007A5948" w:rsidRPr="0079188E">
        <w:rPr>
          <w:lang w:val="it-IT"/>
        </w:rPr>
        <w:t xml:space="preserve">. </w:t>
      </w:r>
    </w:p>
    <w:p w14:paraId="5C1E935B" w14:textId="1C07DF7B" w:rsidR="000E7E9E" w:rsidRPr="0079188E" w:rsidRDefault="000E7E9E">
      <w:pPr>
        <w:rPr>
          <w:rFonts w:eastAsiaTheme="minorEastAsia"/>
          <w:b/>
          <w:bCs/>
          <w:lang w:val="it-IT" w:eastAsia="da-DK"/>
        </w:rPr>
      </w:pPr>
    </w:p>
    <w:p w14:paraId="41C64866" w14:textId="19E555F2" w:rsidR="00935FD5" w:rsidRPr="00471C94" w:rsidRDefault="007A5948" w:rsidP="00D701B8">
      <w:pPr>
        <w:pStyle w:val="NormaleWeb"/>
        <w:spacing w:before="0" w:beforeAutospacing="0" w:after="0" w:afterAutospacing="0"/>
        <w:jc w:val="both"/>
        <w:rPr>
          <w:rFonts w:asciiTheme="minorHAnsi" w:hAnsiTheme="minorHAnsi" w:cstheme="minorBidi"/>
          <w:sz w:val="22"/>
          <w:szCs w:val="22"/>
          <w:lang w:eastAsia="da-DK"/>
        </w:rPr>
      </w:pPr>
      <w:r w:rsidRPr="008E6ABC">
        <w:rPr>
          <w:rFonts w:asciiTheme="minorHAnsi" w:hAnsiTheme="minorHAnsi" w:cstheme="minorBidi"/>
          <w:b/>
          <w:bCs/>
          <w:sz w:val="22"/>
          <w:szCs w:val="22"/>
          <w:lang w:eastAsia="da-DK"/>
        </w:rPr>
        <w:t>Figur</w:t>
      </w:r>
      <w:r w:rsidR="00B166C8" w:rsidRPr="008E6ABC">
        <w:rPr>
          <w:rFonts w:asciiTheme="minorHAnsi" w:hAnsiTheme="minorHAnsi" w:cstheme="minorBidi"/>
          <w:b/>
          <w:bCs/>
          <w:sz w:val="22"/>
          <w:szCs w:val="22"/>
          <w:lang w:eastAsia="da-DK"/>
        </w:rPr>
        <w:t>a</w:t>
      </w:r>
      <w:r w:rsidRPr="008E6ABC">
        <w:rPr>
          <w:rFonts w:asciiTheme="minorHAnsi" w:hAnsiTheme="minorHAnsi" w:cstheme="minorBidi"/>
          <w:b/>
          <w:bCs/>
          <w:sz w:val="22"/>
          <w:szCs w:val="22"/>
          <w:lang w:eastAsia="da-DK"/>
        </w:rPr>
        <w:t xml:space="preserve"> 2.</w:t>
      </w:r>
      <w:r w:rsidRPr="008E6ABC">
        <w:rPr>
          <w:rFonts w:asciiTheme="minorHAnsi" w:hAnsiTheme="minorHAnsi" w:cstheme="minorBidi"/>
          <w:sz w:val="22"/>
          <w:szCs w:val="22"/>
          <w:lang w:eastAsia="da-DK"/>
        </w:rPr>
        <w:t xml:space="preserve"> </w:t>
      </w:r>
      <w:r w:rsidR="51E7080C" w:rsidRPr="008E6ABC">
        <w:rPr>
          <w:rFonts w:asciiTheme="minorHAnsi" w:hAnsiTheme="minorHAnsi" w:cstheme="minorBidi"/>
          <w:sz w:val="22"/>
          <w:szCs w:val="22"/>
          <w:lang w:eastAsia="da-DK"/>
        </w:rPr>
        <w:t>Flow chart di selezione dei casi in anagrafe nazionale vaccini e nella sorveglianza COVID-19 per la</w:t>
      </w:r>
      <w:r w:rsidR="00A91427" w:rsidRPr="00471C94">
        <w:rPr>
          <w:rFonts w:asciiTheme="minorHAnsi" w:hAnsiTheme="minorHAnsi" w:cstheme="minorBidi"/>
          <w:sz w:val="22"/>
          <w:szCs w:val="22"/>
          <w:lang w:eastAsia="da-DK"/>
        </w:rPr>
        <w:t xml:space="preserve"> </w:t>
      </w:r>
      <w:r w:rsidR="51E7080C" w:rsidRPr="00471C94">
        <w:rPr>
          <w:rFonts w:asciiTheme="minorHAnsi" w:hAnsiTheme="minorHAnsi" w:cstheme="minorBidi"/>
          <w:sz w:val="22"/>
          <w:szCs w:val="22"/>
          <w:lang w:eastAsia="da-DK"/>
        </w:rPr>
        <w:t>valutazione degli eventi in studio</w:t>
      </w:r>
    </w:p>
    <w:p w14:paraId="2F6D8B91" w14:textId="00017925" w:rsidR="00935FD5" w:rsidRPr="00471C94" w:rsidRDefault="00935FD5" w:rsidP="57807457">
      <w:pPr>
        <w:pStyle w:val="NormaleWeb"/>
        <w:spacing w:before="120" w:beforeAutospacing="0" w:after="0" w:afterAutospacing="0"/>
        <w:jc w:val="both"/>
        <w:rPr>
          <w:rFonts w:eastAsia="Yu Mincho"/>
          <w:lang w:eastAsia="da-DK"/>
        </w:rPr>
      </w:pPr>
    </w:p>
    <w:p w14:paraId="058F5E1C" w14:textId="06AD4D6E" w:rsidR="007A5948" w:rsidRDefault="00A91427" w:rsidP="006F751D">
      <w:pPr>
        <w:jc w:val="both"/>
        <w:rPr>
          <w:lang w:val="en-GB"/>
        </w:rPr>
      </w:pPr>
      <w:r w:rsidRPr="00A91427">
        <w:rPr>
          <w:noProof/>
          <w:lang w:val="it-IT" w:eastAsia="it-IT"/>
        </w:rPr>
        <w:drawing>
          <wp:inline distT="0" distB="0" distL="0" distR="0" wp14:anchorId="39BD33A9" wp14:editId="1F516241">
            <wp:extent cx="6120130" cy="303313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130" cy="3033139"/>
                    </a:xfrm>
                    <a:prstGeom prst="rect">
                      <a:avLst/>
                    </a:prstGeom>
                    <a:noFill/>
                    <a:ln>
                      <a:noFill/>
                    </a:ln>
                  </pic:spPr>
                </pic:pic>
              </a:graphicData>
            </a:graphic>
          </wp:inline>
        </w:drawing>
      </w:r>
    </w:p>
    <w:p w14:paraId="680D874E" w14:textId="77777777" w:rsidR="000F62FD" w:rsidRDefault="000F62FD" w:rsidP="003E6DBC">
      <w:pPr>
        <w:jc w:val="both"/>
        <w:rPr>
          <w:lang w:val="en-GB"/>
        </w:rPr>
      </w:pPr>
    </w:p>
    <w:p w14:paraId="7FDA0E96" w14:textId="1E99B4BE" w:rsidR="00A71EC4" w:rsidRDefault="00B95F38" w:rsidP="003E6DBC">
      <w:pPr>
        <w:jc w:val="both"/>
        <w:rPr>
          <w:lang w:val="it-IT"/>
        </w:rPr>
      </w:pPr>
      <w:r w:rsidRPr="00B95F38">
        <w:rPr>
          <w:lang w:val="it-IT"/>
        </w:rPr>
        <w:t>Le incidenze di diagnosi, ricovero, ammissione in terapia intensiva (TI) e decesso sono state calcolate come rapporto tra il numero di eventi in studio e il totale del tempo di osservazione (</w:t>
      </w:r>
      <w:r w:rsidR="009279F9">
        <w:rPr>
          <w:lang w:val="it-IT"/>
        </w:rPr>
        <w:t xml:space="preserve">tempo-persona, </w:t>
      </w:r>
      <w:r w:rsidRPr="00B95F38">
        <w:rPr>
          <w:lang w:val="it-IT"/>
        </w:rPr>
        <w:t xml:space="preserve">in giorni) tra le persone vaccinate con prima dose da 14 giorni o meno e tra quelle con </w:t>
      </w:r>
      <w:r w:rsidR="00FF5F38">
        <w:rPr>
          <w:lang w:val="it-IT"/>
        </w:rPr>
        <w:t>ciclo vaccinale completo</w:t>
      </w:r>
      <w:r w:rsidRPr="00B95F38">
        <w:rPr>
          <w:lang w:val="it-IT"/>
        </w:rPr>
        <w:t xml:space="preserve">. </w:t>
      </w:r>
      <w:r w:rsidR="00A71EC4" w:rsidRPr="00A71EC4">
        <w:rPr>
          <w:lang w:val="it-IT"/>
        </w:rPr>
        <w:t xml:space="preserve">In questa analisi, l’informazione sullo stato in vita delle persone seguite dopo la vaccinazione non è disponibile se non </w:t>
      </w:r>
      <w:r w:rsidR="00A71EC4" w:rsidRPr="00A71EC4">
        <w:rPr>
          <w:lang w:val="it-IT"/>
        </w:rPr>
        <w:lastRenderedPageBreak/>
        <w:t xml:space="preserve">per quelli che sono stati diagnosticati con COVID-19 e poi sono deceduti per COVID-19. L’assenza di questa informazione può portare a una distorsione del tempo di osservazione (cioè le persone sono considerate a rischio di infezione fino alla chiusura del follow-up) soprattutto per le persone più anziane. Al fine di limitare gli effetti di questa possibile distorsione, basandoci sulle tavole di mortalità che l’ISTAT ha pubblicato per il 2020 (3), stratificate per regione, età e sesso, e assumendo che il rischio di morte fosse uniforme nell’anno solare, abbiamo imputato la data di morte nelle persone che non sono </w:t>
      </w:r>
      <w:r w:rsidR="00FF5F38" w:rsidRPr="00A71EC4">
        <w:rPr>
          <w:lang w:val="it-IT"/>
        </w:rPr>
        <w:t>stat</w:t>
      </w:r>
      <w:r w:rsidR="00FF5F38">
        <w:rPr>
          <w:lang w:val="it-IT"/>
        </w:rPr>
        <w:t>e</w:t>
      </w:r>
      <w:r w:rsidR="00FF5F38" w:rsidRPr="00A71EC4">
        <w:rPr>
          <w:lang w:val="it-IT"/>
        </w:rPr>
        <w:t xml:space="preserve"> </w:t>
      </w:r>
      <w:r w:rsidR="00E5446D" w:rsidRPr="00A71EC4">
        <w:rPr>
          <w:lang w:val="it-IT"/>
        </w:rPr>
        <w:t>diagnosticat</w:t>
      </w:r>
      <w:r w:rsidR="00E5446D">
        <w:rPr>
          <w:lang w:val="it-IT"/>
        </w:rPr>
        <w:t>e</w:t>
      </w:r>
      <w:r w:rsidR="00E5446D" w:rsidRPr="00A71EC4">
        <w:rPr>
          <w:lang w:val="it-IT"/>
        </w:rPr>
        <w:t xml:space="preserve"> </w:t>
      </w:r>
      <w:r w:rsidR="00A71EC4" w:rsidRPr="00A71EC4">
        <w:rPr>
          <w:lang w:val="it-IT"/>
        </w:rPr>
        <w:t>con COVID-19 nel periodo in studio. Il tempo persona è stato quindi calcolato, per le persone che non sono state diagnosticate con COVID-19</w:t>
      </w:r>
      <w:r w:rsidR="00E5446D">
        <w:rPr>
          <w:lang w:val="it-IT"/>
        </w:rPr>
        <w:t>,</w:t>
      </w:r>
      <w:r w:rsidR="00A71EC4" w:rsidRPr="00A71EC4">
        <w:rPr>
          <w:lang w:val="it-IT"/>
        </w:rPr>
        <w:t xml:space="preserve"> come tempo da</w:t>
      </w:r>
      <w:r w:rsidR="00E5446D">
        <w:rPr>
          <w:lang w:val="it-IT"/>
        </w:rPr>
        <w:t>lla</w:t>
      </w:r>
      <w:r w:rsidR="00A71EC4" w:rsidRPr="00A71EC4">
        <w:rPr>
          <w:lang w:val="it-IT"/>
        </w:rPr>
        <w:t xml:space="preserve"> prima vaccinazione alla prima data tra quella di morte imputata o quella di </w:t>
      </w:r>
      <w:r w:rsidR="00FF5F38">
        <w:rPr>
          <w:lang w:val="it-IT"/>
        </w:rPr>
        <w:t>fine</w:t>
      </w:r>
      <w:r w:rsidR="00FF5F38" w:rsidRPr="00A71EC4">
        <w:rPr>
          <w:lang w:val="it-IT"/>
        </w:rPr>
        <w:t xml:space="preserve"> </w:t>
      </w:r>
      <w:r w:rsidR="00A71EC4" w:rsidRPr="00A71EC4">
        <w:rPr>
          <w:lang w:val="it-IT"/>
        </w:rPr>
        <w:t xml:space="preserve">del follow-up (29 agosto per qualsiasi diagnosi, </w:t>
      </w:r>
      <w:r w:rsidR="00E5446D">
        <w:rPr>
          <w:lang w:val="it-IT"/>
        </w:rPr>
        <w:t>1</w:t>
      </w:r>
      <w:r w:rsidR="00E5446D" w:rsidRPr="00A71EC4">
        <w:rPr>
          <w:lang w:val="it-IT"/>
        </w:rPr>
        <w:t xml:space="preserve"> </w:t>
      </w:r>
      <w:r w:rsidR="00A71EC4" w:rsidRPr="00A71EC4">
        <w:rPr>
          <w:lang w:val="it-IT"/>
        </w:rPr>
        <w:t>agosto per le diagnosi con susseguente ricovero/terapia intensiva/decesso). Il tempo-persona è stato calcolato fino alla data di diagnosi di COVID-19 per chi è stato diagnosticato.</w:t>
      </w:r>
    </w:p>
    <w:p w14:paraId="76D016A0" w14:textId="6EFE2F4C" w:rsidR="0091615E" w:rsidRPr="0091615E" w:rsidRDefault="00B95F38" w:rsidP="003E6DBC">
      <w:pPr>
        <w:jc w:val="both"/>
        <w:rPr>
          <w:lang w:val="it-IT"/>
        </w:rPr>
      </w:pPr>
      <w:r w:rsidRPr="0091615E">
        <w:rPr>
          <w:lang w:val="it-IT"/>
        </w:rPr>
        <w:t>I tassi di incidenza sono stati inoltre stratificati per fascia di età</w:t>
      </w:r>
      <w:r w:rsidR="009279F9">
        <w:rPr>
          <w:lang w:val="it-IT"/>
        </w:rPr>
        <w:t xml:space="preserve"> </w:t>
      </w:r>
      <w:r w:rsidR="009279F9" w:rsidRPr="009279F9">
        <w:rPr>
          <w:lang w:val="it-IT"/>
        </w:rPr>
        <w:t>(</w:t>
      </w:r>
      <w:r w:rsidR="009279F9">
        <w:rPr>
          <w:lang w:val="it-IT"/>
        </w:rPr>
        <w:t xml:space="preserve">16-39, </w:t>
      </w:r>
      <w:r w:rsidR="009279F9" w:rsidRPr="009279F9">
        <w:rPr>
          <w:lang w:val="it-IT"/>
        </w:rPr>
        <w:t xml:space="preserve">40-59, 60-79, </w:t>
      </w:r>
      <w:r w:rsidR="009279F9">
        <w:rPr>
          <w:lang w:val="it-IT"/>
        </w:rPr>
        <w:t>e</w:t>
      </w:r>
      <w:r w:rsidR="009279F9" w:rsidRPr="009279F9">
        <w:rPr>
          <w:lang w:val="it-IT"/>
        </w:rPr>
        <w:t xml:space="preserve"> ≥80 </w:t>
      </w:r>
      <w:r w:rsidR="009279F9">
        <w:rPr>
          <w:lang w:val="it-IT"/>
        </w:rPr>
        <w:t>anni)</w:t>
      </w:r>
      <w:r w:rsidRPr="0091615E">
        <w:rPr>
          <w:lang w:val="it-IT"/>
        </w:rPr>
        <w:t>, genere, area geografica</w:t>
      </w:r>
      <w:r w:rsidR="009279F9">
        <w:rPr>
          <w:lang w:val="it-IT"/>
        </w:rPr>
        <w:t xml:space="preserve"> (nord</w:t>
      </w:r>
      <w:r w:rsidR="009279F9" w:rsidRPr="009279F9">
        <w:rPr>
          <w:lang w:val="it-IT"/>
        </w:rPr>
        <w:t>, centr</w:t>
      </w:r>
      <w:r w:rsidR="00462C54">
        <w:rPr>
          <w:lang w:val="it-IT"/>
        </w:rPr>
        <w:t>o</w:t>
      </w:r>
      <w:r w:rsidR="009279F9" w:rsidRPr="009279F9">
        <w:rPr>
          <w:lang w:val="it-IT"/>
        </w:rPr>
        <w:t xml:space="preserve">, </w:t>
      </w:r>
      <w:r w:rsidR="00462C54">
        <w:rPr>
          <w:lang w:val="it-IT"/>
        </w:rPr>
        <w:t>sud</w:t>
      </w:r>
      <w:r w:rsidR="009279F9" w:rsidRPr="009279F9">
        <w:rPr>
          <w:lang w:val="it-IT"/>
        </w:rPr>
        <w:t xml:space="preserve"> </w:t>
      </w:r>
      <w:r w:rsidR="00462C54">
        <w:rPr>
          <w:lang w:val="it-IT"/>
        </w:rPr>
        <w:t>e</w:t>
      </w:r>
      <w:r w:rsidR="009279F9" w:rsidRPr="009279F9">
        <w:rPr>
          <w:lang w:val="it-IT"/>
        </w:rPr>
        <w:t xml:space="preserve"> is</w:t>
      </w:r>
      <w:r w:rsidR="00462C54">
        <w:rPr>
          <w:lang w:val="it-IT"/>
        </w:rPr>
        <w:t>ole</w:t>
      </w:r>
      <w:r w:rsidR="009279F9">
        <w:rPr>
          <w:lang w:val="it-IT"/>
        </w:rPr>
        <w:t>)</w:t>
      </w:r>
      <w:r w:rsidRPr="0091615E">
        <w:rPr>
          <w:lang w:val="it-IT"/>
        </w:rPr>
        <w:t xml:space="preserve">, periodo di calendario della somministrazione della prima dose, e brand. </w:t>
      </w:r>
    </w:p>
    <w:p w14:paraId="47078407" w14:textId="6B32949C" w:rsidR="00594B51" w:rsidRPr="003C547B" w:rsidRDefault="00BE09EB" w:rsidP="006F751D">
      <w:pPr>
        <w:jc w:val="both"/>
        <w:rPr>
          <w:lang w:val="it-IT"/>
        </w:rPr>
      </w:pPr>
      <w:r w:rsidRPr="003C547B">
        <w:rPr>
          <w:lang w:val="it-IT"/>
        </w:rPr>
        <w:t xml:space="preserve">Sono state poi effettuate </w:t>
      </w:r>
      <w:r w:rsidR="0062736D" w:rsidRPr="003C547B">
        <w:rPr>
          <w:lang w:val="it-IT"/>
        </w:rPr>
        <w:t>analisi di regression</w:t>
      </w:r>
      <w:r w:rsidR="002F33AF" w:rsidRPr="003C547B">
        <w:rPr>
          <w:lang w:val="it-IT"/>
        </w:rPr>
        <w:t xml:space="preserve">e </w:t>
      </w:r>
      <w:r w:rsidR="00E5446D" w:rsidRPr="003C547B">
        <w:rPr>
          <w:lang w:val="it-IT"/>
        </w:rPr>
        <w:t>multivariat</w:t>
      </w:r>
      <w:r w:rsidR="00E5446D">
        <w:rPr>
          <w:lang w:val="it-IT"/>
        </w:rPr>
        <w:t>a</w:t>
      </w:r>
      <w:r w:rsidR="00E5446D" w:rsidRPr="003C547B">
        <w:rPr>
          <w:lang w:val="it-IT"/>
        </w:rPr>
        <w:t xml:space="preserve"> </w:t>
      </w:r>
      <w:r w:rsidR="002F33AF" w:rsidRPr="003C547B">
        <w:rPr>
          <w:lang w:val="it-IT"/>
        </w:rPr>
        <w:t xml:space="preserve">per stimare la riduzione del rischio di </w:t>
      </w:r>
      <w:r w:rsidR="00E1118D" w:rsidRPr="003C547B">
        <w:rPr>
          <w:lang w:val="it-IT"/>
        </w:rPr>
        <w:t xml:space="preserve">essere diagnosticati con COVID-19 </w:t>
      </w:r>
      <w:r w:rsidR="000C2215" w:rsidRPr="003C547B">
        <w:rPr>
          <w:lang w:val="it-IT"/>
        </w:rPr>
        <w:t>(</w:t>
      </w:r>
      <w:r w:rsidR="00E1118D" w:rsidRPr="003C547B">
        <w:rPr>
          <w:lang w:val="it-IT"/>
        </w:rPr>
        <w:t>sia sintomatico che asintomatico</w:t>
      </w:r>
      <w:r w:rsidR="000C2215" w:rsidRPr="003C547B">
        <w:rPr>
          <w:lang w:val="it-IT"/>
        </w:rPr>
        <w:t xml:space="preserve">, </w:t>
      </w:r>
      <w:r w:rsidR="007E36A2" w:rsidRPr="003C547B">
        <w:rPr>
          <w:lang w:val="it-IT"/>
        </w:rPr>
        <w:t xml:space="preserve">con conseguente </w:t>
      </w:r>
      <w:r w:rsidR="00FF5F38">
        <w:rPr>
          <w:lang w:val="it-IT"/>
        </w:rPr>
        <w:t>ricovero</w:t>
      </w:r>
      <w:r w:rsidR="00594B51" w:rsidRPr="003C547B">
        <w:rPr>
          <w:lang w:val="it-IT"/>
        </w:rPr>
        <w:t xml:space="preserve">, </w:t>
      </w:r>
      <w:r w:rsidR="00195464" w:rsidRPr="003C547B">
        <w:rPr>
          <w:lang w:val="it-IT"/>
        </w:rPr>
        <w:t>r</w:t>
      </w:r>
      <w:r w:rsidR="00952B89" w:rsidRPr="003C547B">
        <w:rPr>
          <w:lang w:val="it-IT"/>
        </w:rPr>
        <w:t>i</w:t>
      </w:r>
      <w:r w:rsidR="00195464" w:rsidRPr="003C547B">
        <w:rPr>
          <w:lang w:val="it-IT"/>
        </w:rPr>
        <w:t>covero in ter</w:t>
      </w:r>
      <w:r w:rsidR="00952B89" w:rsidRPr="003C547B">
        <w:rPr>
          <w:lang w:val="it-IT"/>
        </w:rPr>
        <w:t>ap</w:t>
      </w:r>
      <w:r w:rsidR="00195464" w:rsidRPr="003C547B">
        <w:rPr>
          <w:lang w:val="it-IT"/>
        </w:rPr>
        <w:t>ia intensiva</w:t>
      </w:r>
      <w:r w:rsidR="008B36A4" w:rsidRPr="003C547B">
        <w:rPr>
          <w:lang w:val="it-IT"/>
        </w:rPr>
        <w:t xml:space="preserve">, </w:t>
      </w:r>
      <w:r w:rsidR="000C2215" w:rsidRPr="003C547B">
        <w:rPr>
          <w:lang w:val="it-IT"/>
        </w:rPr>
        <w:t>decesso associato a COVID-19</w:t>
      </w:r>
      <w:r w:rsidR="008B36A4" w:rsidRPr="003C547B">
        <w:rPr>
          <w:lang w:val="it-IT"/>
        </w:rPr>
        <w:t>) a differenti intervalli di tempo dalla somministrazione della seconda dose</w:t>
      </w:r>
      <w:r w:rsidR="00C67C37" w:rsidRPr="003C547B">
        <w:rPr>
          <w:lang w:val="it-IT"/>
        </w:rPr>
        <w:t xml:space="preserve"> del vaccino. Questo rischio</w:t>
      </w:r>
      <w:r w:rsidR="00A417CF" w:rsidRPr="003C547B">
        <w:rPr>
          <w:lang w:val="it-IT"/>
        </w:rPr>
        <w:t xml:space="preserve"> è stato poi confrontato con quello stimato</w:t>
      </w:r>
      <w:r w:rsidR="00C67C37" w:rsidRPr="003C547B">
        <w:rPr>
          <w:lang w:val="it-IT"/>
        </w:rPr>
        <w:t xml:space="preserve"> </w:t>
      </w:r>
      <w:r w:rsidR="005416C3" w:rsidRPr="003C547B">
        <w:rPr>
          <w:lang w:val="it-IT"/>
        </w:rPr>
        <w:t>per l’intervallo di tempo 0-1</w:t>
      </w:r>
      <w:r w:rsidR="003377BD" w:rsidRPr="003C547B">
        <w:rPr>
          <w:lang w:val="it-IT"/>
        </w:rPr>
        <w:t xml:space="preserve">4 giorni dopo la somministrazione della </w:t>
      </w:r>
      <w:r w:rsidR="00FF5F38">
        <w:rPr>
          <w:lang w:val="it-IT"/>
        </w:rPr>
        <w:t xml:space="preserve">prima </w:t>
      </w:r>
      <w:r w:rsidR="003377BD" w:rsidRPr="003C547B">
        <w:rPr>
          <w:lang w:val="it-IT"/>
        </w:rPr>
        <w:t xml:space="preserve">dose </w:t>
      </w:r>
      <w:r w:rsidR="00594B51" w:rsidRPr="003C547B">
        <w:rPr>
          <w:lang w:val="it-IT"/>
        </w:rPr>
        <w:t>(</w:t>
      </w:r>
      <w:r w:rsidR="00DA4226" w:rsidRPr="003C547B">
        <w:rPr>
          <w:lang w:val="it-IT"/>
        </w:rPr>
        <w:t>periodo di riferime</w:t>
      </w:r>
      <w:r w:rsidR="00CF2291" w:rsidRPr="003C547B">
        <w:rPr>
          <w:lang w:val="it-IT"/>
        </w:rPr>
        <w:t>n</w:t>
      </w:r>
      <w:r w:rsidR="00DA4226" w:rsidRPr="003C547B">
        <w:rPr>
          <w:lang w:val="it-IT"/>
        </w:rPr>
        <w:t>to</w:t>
      </w:r>
      <w:r w:rsidR="005211F7" w:rsidRPr="003C547B">
        <w:rPr>
          <w:lang w:val="it-IT"/>
        </w:rPr>
        <w:t xml:space="preserve">, proxy </w:t>
      </w:r>
      <w:r w:rsidR="00DA4226" w:rsidRPr="003C547B">
        <w:rPr>
          <w:lang w:val="it-IT"/>
        </w:rPr>
        <w:t>del rischio nei non vaccinati</w:t>
      </w:r>
      <w:r w:rsidR="005211F7" w:rsidRPr="003C547B">
        <w:rPr>
          <w:lang w:val="it-IT"/>
        </w:rPr>
        <w:t xml:space="preserve">, </w:t>
      </w:r>
      <w:r w:rsidR="00974515" w:rsidRPr="003C547B">
        <w:rPr>
          <w:lang w:val="it-IT"/>
        </w:rPr>
        <w:t>vedere voce bibliografica</w:t>
      </w:r>
      <w:r w:rsidR="000D6344" w:rsidRPr="003C547B">
        <w:rPr>
          <w:lang w:val="it-IT"/>
        </w:rPr>
        <w:t xml:space="preserve"> 7</w:t>
      </w:r>
      <w:r w:rsidR="005211F7" w:rsidRPr="003C547B">
        <w:rPr>
          <w:lang w:val="it-IT"/>
        </w:rPr>
        <w:t xml:space="preserve"> </w:t>
      </w:r>
      <w:r w:rsidR="00974515" w:rsidRPr="003C547B">
        <w:rPr>
          <w:lang w:val="it-IT"/>
        </w:rPr>
        <w:t>per</w:t>
      </w:r>
      <w:r w:rsidR="005211F7" w:rsidRPr="003C547B">
        <w:rPr>
          <w:lang w:val="it-IT"/>
        </w:rPr>
        <w:t xml:space="preserve"> det</w:t>
      </w:r>
      <w:r w:rsidR="00974515" w:rsidRPr="003C547B">
        <w:rPr>
          <w:lang w:val="it-IT"/>
        </w:rPr>
        <w:t>tagli</w:t>
      </w:r>
      <w:r w:rsidR="00594B51" w:rsidRPr="003C547B">
        <w:rPr>
          <w:lang w:val="it-IT"/>
        </w:rPr>
        <w:t xml:space="preserve">). </w:t>
      </w:r>
    </w:p>
    <w:p w14:paraId="0660D418" w14:textId="17533380" w:rsidR="00594B51" w:rsidRPr="003C547B" w:rsidRDefault="005C0D7B" w:rsidP="006F751D">
      <w:pPr>
        <w:jc w:val="both"/>
        <w:rPr>
          <w:lang w:val="it-IT"/>
        </w:rPr>
      </w:pPr>
      <w:r w:rsidRPr="003C547B">
        <w:rPr>
          <w:lang w:val="it-IT"/>
        </w:rPr>
        <w:t>Sono stati utilizzati modelli</w:t>
      </w:r>
      <w:r w:rsidR="00B12DB0" w:rsidRPr="003C547B">
        <w:rPr>
          <w:lang w:val="it-IT"/>
        </w:rPr>
        <w:t xml:space="preserve"> di regressione b</w:t>
      </w:r>
      <w:r w:rsidRPr="003C547B">
        <w:rPr>
          <w:lang w:val="it-IT"/>
        </w:rPr>
        <w:t>i</w:t>
      </w:r>
      <w:r w:rsidR="00B12DB0" w:rsidRPr="003C547B">
        <w:rPr>
          <w:lang w:val="it-IT"/>
        </w:rPr>
        <w:t xml:space="preserve">nomiale </w:t>
      </w:r>
      <w:r w:rsidRPr="003C547B">
        <w:rPr>
          <w:lang w:val="it-IT"/>
        </w:rPr>
        <w:t>negativ</w:t>
      </w:r>
      <w:r w:rsidR="0062763E" w:rsidRPr="003C547B">
        <w:rPr>
          <w:lang w:val="it-IT"/>
        </w:rPr>
        <w:t>a</w:t>
      </w:r>
      <w:r w:rsidRPr="003C547B">
        <w:rPr>
          <w:lang w:val="it-IT"/>
        </w:rPr>
        <w:t>,</w:t>
      </w:r>
      <w:r w:rsidR="002C36EA" w:rsidRPr="003C547B">
        <w:rPr>
          <w:lang w:val="it-IT"/>
        </w:rPr>
        <w:t xml:space="preserve"> </w:t>
      </w:r>
      <w:r w:rsidR="00B12DB0" w:rsidRPr="003C547B">
        <w:rPr>
          <w:lang w:val="it-IT"/>
        </w:rPr>
        <w:t>con</w:t>
      </w:r>
      <w:r w:rsidR="00B35135" w:rsidRPr="003C547B">
        <w:rPr>
          <w:lang w:val="it-IT"/>
        </w:rPr>
        <w:t xml:space="preserve"> uno stimatore a varia</w:t>
      </w:r>
      <w:r w:rsidR="000830C3" w:rsidRPr="003C547B">
        <w:rPr>
          <w:lang w:val="it-IT"/>
        </w:rPr>
        <w:t>n</w:t>
      </w:r>
      <w:r w:rsidR="00B35135" w:rsidRPr="003C547B">
        <w:rPr>
          <w:lang w:val="it-IT"/>
        </w:rPr>
        <w:t>za robusta</w:t>
      </w:r>
      <w:r w:rsidRPr="003C547B">
        <w:rPr>
          <w:lang w:val="it-IT"/>
        </w:rPr>
        <w:t xml:space="preserve">, che hanno </w:t>
      </w:r>
      <w:r w:rsidR="00055032" w:rsidRPr="003C547B">
        <w:rPr>
          <w:lang w:val="it-IT"/>
        </w:rPr>
        <w:t>incluso le seguenti covariate</w:t>
      </w:r>
      <w:r w:rsidR="00E252F9" w:rsidRPr="003C547B">
        <w:rPr>
          <w:lang w:val="it-IT"/>
        </w:rPr>
        <w:t xml:space="preserve">: </w:t>
      </w:r>
      <w:r w:rsidR="00055032" w:rsidRPr="003C547B">
        <w:rPr>
          <w:lang w:val="it-IT"/>
        </w:rPr>
        <w:t xml:space="preserve">sesso, </w:t>
      </w:r>
      <w:r w:rsidR="00BF2C1D" w:rsidRPr="003C547B">
        <w:rPr>
          <w:lang w:val="it-IT"/>
        </w:rPr>
        <w:t>classe decennale di età, regione di vaccinazio</w:t>
      </w:r>
      <w:r w:rsidR="00512AF6" w:rsidRPr="003C547B">
        <w:rPr>
          <w:lang w:val="it-IT"/>
        </w:rPr>
        <w:t>ne</w:t>
      </w:r>
      <w:r w:rsidR="00594B51" w:rsidRPr="003C547B">
        <w:rPr>
          <w:lang w:val="it-IT"/>
        </w:rPr>
        <w:t xml:space="preserve">, </w:t>
      </w:r>
      <w:r w:rsidR="00512AF6" w:rsidRPr="003C547B">
        <w:rPr>
          <w:lang w:val="it-IT"/>
        </w:rPr>
        <w:t>brand vaccino</w:t>
      </w:r>
      <w:r w:rsidR="00E252F9" w:rsidRPr="003C547B">
        <w:rPr>
          <w:lang w:val="it-IT"/>
        </w:rPr>
        <w:t xml:space="preserve"> (Comirnaty/Spikev</w:t>
      </w:r>
      <w:r w:rsidR="0004048C" w:rsidRPr="003C547B">
        <w:rPr>
          <w:lang w:val="it-IT"/>
        </w:rPr>
        <w:t>a</w:t>
      </w:r>
      <w:r w:rsidR="00E252F9" w:rsidRPr="003C547B">
        <w:rPr>
          <w:lang w:val="it-IT"/>
        </w:rPr>
        <w:t>x)</w:t>
      </w:r>
      <w:r w:rsidR="00D00D17" w:rsidRPr="003C547B">
        <w:rPr>
          <w:lang w:val="it-IT"/>
        </w:rPr>
        <w:t>,</w:t>
      </w:r>
      <w:r w:rsidR="00594B51" w:rsidRPr="003C547B">
        <w:rPr>
          <w:lang w:val="it-IT"/>
        </w:rPr>
        <w:t xml:space="preserve"> </w:t>
      </w:r>
      <w:r w:rsidR="00FF5F38">
        <w:rPr>
          <w:lang w:val="it-IT"/>
        </w:rPr>
        <w:t>categoria</w:t>
      </w:r>
      <w:r w:rsidR="00FF5F38" w:rsidRPr="003C547B">
        <w:rPr>
          <w:lang w:val="it-IT"/>
        </w:rPr>
        <w:t xml:space="preserve"> </w:t>
      </w:r>
      <w:r w:rsidR="00870C99" w:rsidRPr="003C547B">
        <w:rPr>
          <w:lang w:val="it-IT"/>
        </w:rPr>
        <w:t>prioritari</w:t>
      </w:r>
      <w:r w:rsidR="00FF5F38">
        <w:rPr>
          <w:lang w:val="it-IT"/>
        </w:rPr>
        <w:t xml:space="preserve">a per la </w:t>
      </w:r>
      <w:r w:rsidR="00870C99" w:rsidRPr="003C547B">
        <w:rPr>
          <w:lang w:val="it-IT"/>
        </w:rPr>
        <w:t>vaccinazione</w:t>
      </w:r>
      <w:r w:rsidR="00BE0453" w:rsidRPr="003C547B">
        <w:rPr>
          <w:lang w:val="it-IT"/>
        </w:rPr>
        <w:t xml:space="preserve">, </w:t>
      </w:r>
      <w:r w:rsidR="00870C99" w:rsidRPr="003C547B">
        <w:rPr>
          <w:lang w:val="it-IT"/>
        </w:rPr>
        <w:t xml:space="preserve">e fase epidemica sulla base della predominanza </w:t>
      </w:r>
      <w:r w:rsidR="00427349" w:rsidRPr="003C547B">
        <w:rPr>
          <w:lang w:val="it-IT"/>
        </w:rPr>
        <w:t xml:space="preserve">del virus circolante </w:t>
      </w:r>
      <w:r w:rsidR="00E13CD1" w:rsidRPr="003C547B">
        <w:rPr>
          <w:lang w:val="it-IT"/>
        </w:rPr>
        <w:t>[</w:t>
      </w:r>
      <w:r w:rsidR="007379F6" w:rsidRPr="003C547B">
        <w:rPr>
          <w:lang w:val="it-IT"/>
        </w:rPr>
        <w:t xml:space="preserve">fase </w:t>
      </w:r>
      <w:r w:rsidR="00985E06" w:rsidRPr="003C547B">
        <w:rPr>
          <w:lang w:val="it-IT"/>
        </w:rPr>
        <w:t xml:space="preserve">predominanza </w:t>
      </w:r>
      <w:r w:rsidR="00B1304E" w:rsidRPr="003C547B">
        <w:rPr>
          <w:lang w:val="it-IT"/>
        </w:rPr>
        <w:t xml:space="preserve">della variante </w:t>
      </w:r>
      <w:r w:rsidR="00D750C5" w:rsidRPr="003C547B">
        <w:rPr>
          <w:lang w:val="it-IT"/>
        </w:rPr>
        <w:t>alfa</w:t>
      </w:r>
      <w:r w:rsidR="00B60356" w:rsidRPr="003C547B">
        <w:rPr>
          <w:lang w:val="it-IT"/>
        </w:rPr>
        <w:t xml:space="preserve"> (B.1.1.7):</w:t>
      </w:r>
      <w:r w:rsidR="00E252F9" w:rsidRPr="003C547B">
        <w:rPr>
          <w:lang w:val="it-IT"/>
        </w:rPr>
        <w:t xml:space="preserve"> </w:t>
      </w:r>
      <w:r w:rsidR="00427349" w:rsidRPr="003C547B">
        <w:rPr>
          <w:lang w:val="it-IT"/>
        </w:rPr>
        <w:t>dal</w:t>
      </w:r>
      <w:r w:rsidR="00E252F9" w:rsidRPr="003C547B">
        <w:rPr>
          <w:lang w:val="it-IT"/>
        </w:rPr>
        <w:t xml:space="preserve"> 27/12/2020 </w:t>
      </w:r>
      <w:r w:rsidR="00BD01D2" w:rsidRPr="003C547B">
        <w:rPr>
          <w:lang w:val="it-IT"/>
        </w:rPr>
        <w:t>al</w:t>
      </w:r>
      <w:r w:rsidR="00E252F9" w:rsidRPr="003C547B">
        <w:rPr>
          <w:lang w:val="it-IT"/>
        </w:rPr>
        <w:t xml:space="preserve"> 13/6/2021</w:t>
      </w:r>
      <w:r w:rsidR="007379F6" w:rsidRPr="003C547B">
        <w:rPr>
          <w:lang w:val="it-IT"/>
        </w:rPr>
        <w:t>;</w:t>
      </w:r>
      <w:r w:rsidR="00E252F9" w:rsidRPr="003C547B">
        <w:rPr>
          <w:lang w:val="it-IT"/>
        </w:rPr>
        <w:t xml:space="preserve"> </w:t>
      </w:r>
      <w:r w:rsidR="007379F6" w:rsidRPr="003C547B">
        <w:rPr>
          <w:lang w:val="it-IT"/>
        </w:rPr>
        <w:t xml:space="preserve">fase di </w:t>
      </w:r>
      <w:r w:rsidR="00FF5F38" w:rsidRPr="003C547B">
        <w:rPr>
          <w:lang w:val="it-IT"/>
        </w:rPr>
        <w:t>transi</w:t>
      </w:r>
      <w:r w:rsidR="00FF5F38">
        <w:rPr>
          <w:lang w:val="it-IT"/>
        </w:rPr>
        <w:t>zione</w:t>
      </w:r>
      <w:r w:rsidR="007379F6" w:rsidRPr="003C547B">
        <w:rPr>
          <w:lang w:val="it-IT"/>
        </w:rPr>
        <w:t>:</w:t>
      </w:r>
      <w:r w:rsidR="00E252F9" w:rsidRPr="003C547B">
        <w:rPr>
          <w:lang w:val="it-IT"/>
        </w:rPr>
        <w:t xml:space="preserve"> </w:t>
      </w:r>
      <w:r w:rsidR="007379F6" w:rsidRPr="003C547B">
        <w:rPr>
          <w:lang w:val="it-IT"/>
        </w:rPr>
        <w:t xml:space="preserve">dal </w:t>
      </w:r>
      <w:r w:rsidR="00E252F9" w:rsidRPr="003C547B">
        <w:rPr>
          <w:lang w:val="it-IT"/>
        </w:rPr>
        <w:t xml:space="preserve">14/6/2021 </w:t>
      </w:r>
      <w:r w:rsidR="007379F6" w:rsidRPr="003C547B">
        <w:rPr>
          <w:lang w:val="it-IT"/>
        </w:rPr>
        <w:t>al</w:t>
      </w:r>
      <w:r w:rsidR="00E252F9" w:rsidRPr="003C547B">
        <w:rPr>
          <w:lang w:val="it-IT"/>
        </w:rPr>
        <w:t xml:space="preserve"> 18/7/2021</w:t>
      </w:r>
      <w:r w:rsidR="007379F6" w:rsidRPr="003C547B">
        <w:rPr>
          <w:lang w:val="it-IT"/>
        </w:rPr>
        <w:t xml:space="preserve">; </w:t>
      </w:r>
      <w:r w:rsidR="00FE6581" w:rsidRPr="003C547B">
        <w:rPr>
          <w:lang w:val="it-IT"/>
        </w:rPr>
        <w:t xml:space="preserve">fase predominanza </w:t>
      </w:r>
      <w:r w:rsidR="00194442" w:rsidRPr="003C547B">
        <w:rPr>
          <w:lang w:val="it-IT"/>
        </w:rPr>
        <w:t xml:space="preserve">della variante </w:t>
      </w:r>
      <w:r w:rsidR="00FE6581" w:rsidRPr="003C547B">
        <w:rPr>
          <w:lang w:val="it-IT"/>
        </w:rPr>
        <w:t>delta (B.1.617.2)</w:t>
      </w:r>
      <w:r w:rsidR="00E252F9" w:rsidRPr="003C547B">
        <w:rPr>
          <w:lang w:val="it-IT"/>
        </w:rPr>
        <w:t xml:space="preserve">: </w:t>
      </w:r>
      <w:r w:rsidR="00A72FB0" w:rsidRPr="003C547B">
        <w:rPr>
          <w:lang w:val="it-IT"/>
        </w:rPr>
        <w:t>dal</w:t>
      </w:r>
      <w:r w:rsidR="00E252F9" w:rsidRPr="003C547B">
        <w:rPr>
          <w:lang w:val="it-IT"/>
        </w:rPr>
        <w:t xml:space="preserve"> 19/7/2021</w:t>
      </w:r>
      <w:r w:rsidR="00FF6C42" w:rsidRPr="003C547B">
        <w:rPr>
          <w:lang w:val="it-IT"/>
        </w:rPr>
        <w:t xml:space="preserve"> al </w:t>
      </w:r>
      <w:r w:rsidR="00E252F9" w:rsidRPr="003C547B">
        <w:rPr>
          <w:lang w:val="it-IT"/>
        </w:rPr>
        <w:t>29/8/2021 (</w:t>
      </w:r>
      <w:r w:rsidR="00C514BA" w:rsidRPr="003C547B">
        <w:rPr>
          <w:lang w:val="it-IT"/>
        </w:rPr>
        <w:t>per COVID-19 sia asintomatico che sintomatico</w:t>
      </w:r>
      <w:r w:rsidR="00E252F9" w:rsidRPr="003C547B">
        <w:rPr>
          <w:lang w:val="it-IT"/>
        </w:rPr>
        <w:t xml:space="preserve">) </w:t>
      </w:r>
      <w:r w:rsidR="0031448B" w:rsidRPr="003C547B">
        <w:rPr>
          <w:lang w:val="it-IT"/>
        </w:rPr>
        <w:t>o al</w:t>
      </w:r>
      <w:r w:rsidR="00E252F9" w:rsidRPr="003C547B">
        <w:rPr>
          <w:lang w:val="it-IT"/>
        </w:rPr>
        <w:t xml:space="preserve"> 1/8/2021 (diagnosi</w:t>
      </w:r>
      <w:r w:rsidR="0031448B" w:rsidRPr="003C547B">
        <w:rPr>
          <w:lang w:val="it-IT"/>
        </w:rPr>
        <w:t xml:space="preserve"> con successivo ricover</w:t>
      </w:r>
      <w:r w:rsidR="00CA0825" w:rsidRPr="003C547B">
        <w:rPr>
          <w:lang w:val="it-IT"/>
        </w:rPr>
        <w:t>o/ingresso in terapia intensiva/decesso</w:t>
      </w:r>
      <w:r w:rsidR="00881D1A" w:rsidRPr="003C547B">
        <w:rPr>
          <w:lang w:val="it-IT"/>
        </w:rPr>
        <w:t>)</w:t>
      </w:r>
      <w:r w:rsidR="00E13CD1" w:rsidRPr="003C547B">
        <w:rPr>
          <w:lang w:val="it-IT"/>
        </w:rPr>
        <w:t>]</w:t>
      </w:r>
      <w:r w:rsidR="00CC2473" w:rsidRPr="003C547B">
        <w:rPr>
          <w:lang w:val="it-IT"/>
        </w:rPr>
        <w:t xml:space="preserve"> </w:t>
      </w:r>
      <w:r w:rsidR="005276B8" w:rsidRPr="003C547B">
        <w:rPr>
          <w:lang w:val="it-IT"/>
        </w:rPr>
        <w:t>(</w:t>
      </w:r>
      <w:r w:rsidR="4B89ED0B" w:rsidRPr="003C547B">
        <w:rPr>
          <w:lang w:val="it-IT"/>
        </w:rPr>
        <w:t>9</w:t>
      </w:r>
      <w:r w:rsidR="006771FF" w:rsidRPr="003C547B">
        <w:rPr>
          <w:lang w:val="it-IT"/>
        </w:rPr>
        <w:t>)</w:t>
      </w:r>
      <w:r w:rsidR="00594B51" w:rsidRPr="003C547B">
        <w:rPr>
          <w:lang w:val="it-IT"/>
        </w:rPr>
        <w:t xml:space="preserve">. </w:t>
      </w:r>
      <w:r w:rsidR="00406B35" w:rsidRPr="003C547B">
        <w:rPr>
          <w:lang w:val="it-IT"/>
        </w:rPr>
        <w:t>I modelli hanno anche considerat</w:t>
      </w:r>
      <w:r w:rsidR="00AF236E" w:rsidRPr="003C547B">
        <w:rPr>
          <w:lang w:val="it-IT"/>
        </w:rPr>
        <w:t xml:space="preserve">o come ulteriori </w:t>
      </w:r>
      <w:r w:rsidR="00391097" w:rsidRPr="003C547B">
        <w:rPr>
          <w:lang w:val="it-IT"/>
        </w:rPr>
        <w:t xml:space="preserve">covariate </w:t>
      </w:r>
      <w:r w:rsidR="00251B19" w:rsidRPr="003C547B">
        <w:rPr>
          <w:lang w:val="it-IT"/>
        </w:rPr>
        <w:t xml:space="preserve">la settimana di somministrazione </w:t>
      </w:r>
      <w:r w:rsidR="002A6F02" w:rsidRPr="003C547B">
        <w:rPr>
          <w:lang w:val="it-IT"/>
        </w:rPr>
        <w:t xml:space="preserve">della prima dose </w:t>
      </w:r>
      <w:r w:rsidR="00F236FB" w:rsidRPr="003C547B">
        <w:rPr>
          <w:lang w:val="it-IT"/>
        </w:rPr>
        <w:t xml:space="preserve">e l’incidenza settimanale </w:t>
      </w:r>
      <w:r w:rsidR="00C85888" w:rsidRPr="003C547B">
        <w:rPr>
          <w:lang w:val="it-IT"/>
        </w:rPr>
        <w:t>a livello regionale</w:t>
      </w:r>
      <w:r w:rsidR="00594B51" w:rsidRPr="003C547B">
        <w:rPr>
          <w:lang w:val="it-IT"/>
        </w:rPr>
        <w:t xml:space="preserve">. </w:t>
      </w:r>
    </w:p>
    <w:p w14:paraId="794BFA57" w14:textId="4B687C22" w:rsidR="00594B51" w:rsidRPr="003C547B" w:rsidRDefault="000E14AB" w:rsidP="00691EB9">
      <w:pPr>
        <w:jc w:val="both"/>
        <w:rPr>
          <w:lang w:val="it-IT"/>
        </w:rPr>
      </w:pPr>
      <w:r w:rsidRPr="003C547B">
        <w:rPr>
          <w:lang w:val="it-IT"/>
        </w:rPr>
        <w:t>Per ci</w:t>
      </w:r>
      <w:r w:rsidR="001D685C" w:rsidRPr="003C547B">
        <w:rPr>
          <w:lang w:val="it-IT"/>
        </w:rPr>
        <w:t>a</w:t>
      </w:r>
      <w:r w:rsidR="00E5446D">
        <w:rPr>
          <w:lang w:val="it-IT"/>
        </w:rPr>
        <w:t xml:space="preserve">scun </w:t>
      </w:r>
      <w:r w:rsidRPr="003C547B">
        <w:rPr>
          <w:lang w:val="it-IT"/>
        </w:rPr>
        <w:t>end-poin</w:t>
      </w:r>
      <w:r w:rsidR="001D685C" w:rsidRPr="003C547B">
        <w:rPr>
          <w:lang w:val="it-IT"/>
        </w:rPr>
        <w:t>t</w:t>
      </w:r>
      <w:r w:rsidRPr="003C547B">
        <w:rPr>
          <w:lang w:val="it-IT"/>
        </w:rPr>
        <w:t xml:space="preserve"> </w:t>
      </w:r>
      <w:r w:rsidR="00D701B8" w:rsidRPr="003C547B">
        <w:rPr>
          <w:lang w:val="it-IT"/>
        </w:rPr>
        <w:t>considerat</w:t>
      </w:r>
      <w:r w:rsidR="00D701B8">
        <w:rPr>
          <w:lang w:val="it-IT"/>
        </w:rPr>
        <w:t>o,</w:t>
      </w:r>
      <w:r w:rsidR="00D701B8" w:rsidRPr="003C547B">
        <w:rPr>
          <w:lang w:val="it-IT"/>
        </w:rPr>
        <w:t xml:space="preserve"> </w:t>
      </w:r>
      <w:r w:rsidR="001D685C" w:rsidRPr="003C547B">
        <w:rPr>
          <w:lang w:val="it-IT"/>
        </w:rPr>
        <w:t>l’</w:t>
      </w:r>
      <w:r w:rsidR="00594B51" w:rsidRPr="003C547B">
        <w:rPr>
          <w:lang w:val="it-IT"/>
        </w:rPr>
        <w:t>impa</w:t>
      </w:r>
      <w:r w:rsidR="001D685C" w:rsidRPr="003C547B">
        <w:rPr>
          <w:lang w:val="it-IT"/>
        </w:rPr>
        <w:t xml:space="preserve">tto della vaccinazione </w:t>
      </w:r>
      <w:r w:rsidR="00695407" w:rsidRPr="003C547B">
        <w:rPr>
          <w:lang w:val="it-IT"/>
        </w:rPr>
        <w:t xml:space="preserve">per intervalli di due settimane </w:t>
      </w:r>
      <w:r w:rsidR="00E76595" w:rsidRPr="003C547B">
        <w:rPr>
          <w:lang w:val="it-IT"/>
        </w:rPr>
        <w:t>dalla somministrazione della s</w:t>
      </w:r>
      <w:r w:rsidR="00764C2D" w:rsidRPr="003C547B">
        <w:rPr>
          <w:lang w:val="it-IT"/>
        </w:rPr>
        <w:t xml:space="preserve">econda dose </w:t>
      </w:r>
      <w:r w:rsidR="0033152A" w:rsidRPr="003C547B">
        <w:rPr>
          <w:lang w:val="it-IT"/>
        </w:rPr>
        <w:t xml:space="preserve">è stato misurato attraverso </w:t>
      </w:r>
      <w:r w:rsidR="008A2BD6" w:rsidRPr="003C547B">
        <w:rPr>
          <w:lang w:val="it-IT"/>
        </w:rPr>
        <w:t>il rapporto tra tassi di incidenza (</w:t>
      </w:r>
      <w:r w:rsidR="002F7510" w:rsidRPr="003C547B">
        <w:rPr>
          <w:lang w:val="it-IT"/>
        </w:rPr>
        <w:t>“</w:t>
      </w:r>
      <w:r w:rsidR="00E252F9" w:rsidRPr="003C547B">
        <w:rPr>
          <w:lang w:val="it-IT"/>
        </w:rPr>
        <w:t>i</w:t>
      </w:r>
      <w:r w:rsidR="00756C38" w:rsidRPr="003C547B">
        <w:rPr>
          <w:lang w:val="it-IT"/>
        </w:rPr>
        <w:t xml:space="preserve">ncidence </w:t>
      </w:r>
      <w:r w:rsidR="00E252F9" w:rsidRPr="003C547B">
        <w:rPr>
          <w:lang w:val="it-IT"/>
        </w:rPr>
        <w:t>r</w:t>
      </w:r>
      <w:r w:rsidR="00756C38" w:rsidRPr="003C547B">
        <w:rPr>
          <w:lang w:val="it-IT"/>
        </w:rPr>
        <w:t xml:space="preserve">ate </w:t>
      </w:r>
      <w:r w:rsidR="00E252F9" w:rsidRPr="003C547B">
        <w:rPr>
          <w:lang w:val="it-IT"/>
        </w:rPr>
        <w:t>r</w:t>
      </w:r>
      <w:r w:rsidR="00756C38" w:rsidRPr="003C547B">
        <w:rPr>
          <w:lang w:val="it-IT"/>
        </w:rPr>
        <w:t>atio</w:t>
      </w:r>
      <w:r w:rsidR="00C53FAA" w:rsidRPr="003C547B">
        <w:rPr>
          <w:lang w:val="it-IT"/>
        </w:rPr>
        <w:t>”</w:t>
      </w:r>
      <w:r w:rsidR="008A2BD6" w:rsidRPr="003C547B">
        <w:rPr>
          <w:lang w:val="it-IT"/>
        </w:rPr>
        <w:t xml:space="preserve">, </w:t>
      </w:r>
      <w:r w:rsidR="00E252F9" w:rsidRPr="003C547B">
        <w:rPr>
          <w:lang w:val="it-IT"/>
        </w:rPr>
        <w:t>IRR)</w:t>
      </w:r>
      <w:r w:rsidR="00594B51" w:rsidRPr="003C547B">
        <w:rPr>
          <w:lang w:val="it-IT"/>
        </w:rPr>
        <w:t xml:space="preserve"> </w:t>
      </w:r>
      <w:r w:rsidR="00883178" w:rsidRPr="003C547B">
        <w:rPr>
          <w:lang w:val="it-IT"/>
        </w:rPr>
        <w:t xml:space="preserve">avendo scelto come riferimento il </w:t>
      </w:r>
      <w:r w:rsidR="00FF2FB6" w:rsidRPr="003C547B">
        <w:rPr>
          <w:lang w:val="it-IT"/>
        </w:rPr>
        <w:t xml:space="preserve">tasso di incidenza </w:t>
      </w:r>
      <w:r w:rsidR="007E138F" w:rsidRPr="003C547B">
        <w:rPr>
          <w:lang w:val="it-IT"/>
        </w:rPr>
        <w:t>delle due settimane successive alla prima dose</w:t>
      </w:r>
      <w:r w:rsidR="00C91D8D" w:rsidRPr="003C547B">
        <w:rPr>
          <w:lang w:val="it-IT"/>
        </w:rPr>
        <w:t>.</w:t>
      </w:r>
      <w:r w:rsidR="00594B51" w:rsidRPr="003C547B">
        <w:rPr>
          <w:lang w:val="it-IT"/>
        </w:rPr>
        <w:t xml:space="preserve"> </w:t>
      </w:r>
      <w:r w:rsidR="00C0026D" w:rsidRPr="003C547B">
        <w:rPr>
          <w:lang w:val="it-IT"/>
        </w:rPr>
        <w:t>Modelli analoghi sono stati</w:t>
      </w:r>
      <w:r w:rsidR="00FF5F38">
        <w:rPr>
          <w:lang w:val="it-IT"/>
        </w:rPr>
        <w:t xml:space="preserve"> utilizzati</w:t>
      </w:r>
      <w:r w:rsidR="00C0026D" w:rsidRPr="003C547B">
        <w:rPr>
          <w:lang w:val="it-IT"/>
        </w:rPr>
        <w:t xml:space="preserve"> anche stratificando </w:t>
      </w:r>
      <w:r w:rsidR="00A7067B" w:rsidRPr="003C547B">
        <w:rPr>
          <w:lang w:val="it-IT"/>
        </w:rPr>
        <w:t xml:space="preserve">per </w:t>
      </w:r>
      <w:r w:rsidR="00FF5F38">
        <w:rPr>
          <w:lang w:val="it-IT"/>
        </w:rPr>
        <w:t>categoria</w:t>
      </w:r>
      <w:r w:rsidR="00FF5F38" w:rsidRPr="003C547B">
        <w:rPr>
          <w:lang w:val="it-IT"/>
        </w:rPr>
        <w:t xml:space="preserve"> </w:t>
      </w:r>
      <w:r w:rsidR="00DD7AEE" w:rsidRPr="003C547B">
        <w:rPr>
          <w:lang w:val="it-IT"/>
        </w:rPr>
        <w:t>prioritari</w:t>
      </w:r>
      <w:r w:rsidR="00FF5F38">
        <w:rPr>
          <w:lang w:val="it-IT"/>
        </w:rPr>
        <w:t>a</w:t>
      </w:r>
      <w:r w:rsidR="00DD7AEE" w:rsidRPr="003C547B">
        <w:rPr>
          <w:lang w:val="it-IT"/>
        </w:rPr>
        <w:t xml:space="preserve"> </w:t>
      </w:r>
      <w:r w:rsidR="00FF5F38">
        <w:rPr>
          <w:lang w:val="it-IT"/>
        </w:rPr>
        <w:t>per la</w:t>
      </w:r>
      <w:r w:rsidR="00DD7AEE" w:rsidRPr="003C547B">
        <w:rPr>
          <w:lang w:val="it-IT"/>
        </w:rPr>
        <w:t xml:space="preserve"> vaccinazione</w:t>
      </w:r>
      <w:r w:rsidR="003628F7" w:rsidRPr="003C547B">
        <w:rPr>
          <w:lang w:val="it-IT"/>
        </w:rPr>
        <w:t xml:space="preserve">, </w:t>
      </w:r>
      <w:r w:rsidR="003C547B" w:rsidRPr="003C547B">
        <w:rPr>
          <w:lang w:val="it-IT"/>
        </w:rPr>
        <w:t>classi di età e fase epidemica</w:t>
      </w:r>
      <w:r w:rsidR="00594B51" w:rsidRPr="003C547B">
        <w:rPr>
          <w:lang w:val="it-IT"/>
        </w:rPr>
        <w:t>.</w:t>
      </w:r>
    </w:p>
    <w:p w14:paraId="7EE64AE9" w14:textId="77777777" w:rsidR="00C91D8D" w:rsidRPr="003C547B" w:rsidRDefault="00C91D8D" w:rsidP="00691EB9">
      <w:pPr>
        <w:jc w:val="both"/>
        <w:rPr>
          <w:highlight w:val="yellow"/>
          <w:lang w:val="it-IT"/>
        </w:rPr>
      </w:pPr>
    </w:p>
    <w:p w14:paraId="166B029F" w14:textId="77777777" w:rsidR="00C46EE4" w:rsidRPr="003C547B" w:rsidRDefault="00C46EE4">
      <w:pPr>
        <w:rPr>
          <w:b/>
          <w:bCs/>
          <w:sz w:val="28"/>
          <w:szCs w:val="28"/>
          <w:highlight w:val="yellow"/>
          <w:lang w:val="it-IT"/>
        </w:rPr>
      </w:pPr>
      <w:r w:rsidRPr="003C547B">
        <w:rPr>
          <w:b/>
          <w:bCs/>
          <w:sz w:val="28"/>
          <w:szCs w:val="28"/>
          <w:highlight w:val="yellow"/>
          <w:lang w:val="it-IT"/>
        </w:rPr>
        <w:br w:type="page"/>
      </w:r>
    </w:p>
    <w:p w14:paraId="6B71535D" w14:textId="76095BC1" w:rsidR="006F751D" w:rsidRPr="006633EB" w:rsidRDefault="00306DB6" w:rsidP="00C46EE4">
      <w:pPr>
        <w:shd w:val="clear" w:color="auto" w:fill="D0CECE" w:themeFill="background2" w:themeFillShade="E6"/>
        <w:jc w:val="both"/>
        <w:rPr>
          <w:b/>
          <w:bCs/>
          <w:sz w:val="28"/>
          <w:szCs w:val="28"/>
          <w:lang w:val="it-IT"/>
        </w:rPr>
      </w:pPr>
      <w:r w:rsidRPr="006A38FC">
        <w:rPr>
          <w:b/>
          <w:bCs/>
          <w:sz w:val="28"/>
          <w:szCs w:val="28"/>
          <w:lang w:val="it-IT"/>
        </w:rPr>
        <w:lastRenderedPageBreak/>
        <w:t xml:space="preserve">Copertura vaccinale e rischio di COVID-19 </w:t>
      </w:r>
      <w:r w:rsidR="00FC7E4D" w:rsidRPr="006A38FC">
        <w:rPr>
          <w:b/>
          <w:bCs/>
          <w:sz w:val="28"/>
          <w:szCs w:val="28"/>
          <w:lang w:val="it-IT"/>
        </w:rPr>
        <w:t xml:space="preserve">in Italia </w:t>
      </w:r>
      <w:r w:rsidRPr="006A38FC">
        <w:rPr>
          <w:b/>
          <w:bCs/>
          <w:sz w:val="28"/>
          <w:szCs w:val="28"/>
          <w:lang w:val="it-IT"/>
        </w:rPr>
        <w:t>(qualsiasi diagnosi</w:t>
      </w:r>
      <w:r w:rsidR="00110BE0" w:rsidRPr="006A38FC">
        <w:rPr>
          <w:b/>
          <w:bCs/>
          <w:sz w:val="28"/>
          <w:szCs w:val="28"/>
          <w:lang w:val="it-IT"/>
        </w:rPr>
        <w:t xml:space="preserve"> </w:t>
      </w:r>
      <w:r w:rsidR="006633EB" w:rsidRPr="006A38FC">
        <w:rPr>
          <w:b/>
          <w:bCs/>
          <w:sz w:val="28"/>
          <w:szCs w:val="28"/>
          <w:lang w:val="it-IT"/>
        </w:rPr>
        <w:t>o con conseguente ricovero/ingress</w:t>
      </w:r>
      <w:r w:rsidR="008E6ABC">
        <w:rPr>
          <w:b/>
          <w:bCs/>
          <w:sz w:val="28"/>
          <w:szCs w:val="28"/>
          <w:lang w:val="it-IT"/>
        </w:rPr>
        <w:t>o</w:t>
      </w:r>
      <w:r w:rsidR="006633EB" w:rsidRPr="006A38FC">
        <w:rPr>
          <w:b/>
          <w:bCs/>
          <w:sz w:val="28"/>
          <w:szCs w:val="28"/>
          <w:lang w:val="it-IT"/>
        </w:rPr>
        <w:t xml:space="preserve"> in ter</w:t>
      </w:r>
      <w:r w:rsidR="008E6ABC">
        <w:rPr>
          <w:b/>
          <w:bCs/>
          <w:sz w:val="28"/>
          <w:szCs w:val="28"/>
          <w:lang w:val="it-IT"/>
        </w:rPr>
        <w:t>a</w:t>
      </w:r>
      <w:r w:rsidR="006633EB" w:rsidRPr="006A38FC">
        <w:rPr>
          <w:b/>
          <w:bCs/>
          <w:sz w:val="28"/>
          <w:szCs w:val="28"/>
          <w:lang w:val="it-IT"/>
        </w:rPr>
        <w:t>p</w:t>
      </w:r>
      <w:r w:rsidR="008E6ABC">
        <w:rPr>
          <w:b/>
          <w:bCs/>
          <w:sz w:val="28"/>
          <w:szCs w:val="28"/>
          <w:lang w:val="it-IT"/>
        </w:rPr>
        <w:t>ia intensiva</w:t>
      </w:r>
      <w:r w:rsidR="006633EB" w:rsidRPr="006A38FC">
        <w:rPr>
          <w:b/>
          <w:bCs/>
          <w:sz w:val="28"/>
          <w:szCs w:val="28"/>
          <w:lang w:val="it-IT"/>
        </w:rPr>
        <w:t>/decesso)</w:t>
      </w:r>
      <w:r w:rsidR="00FC7E4D" w:rsidRPr="006A38FC">
        <w:rPr>
          <w:b/>
          <w:bCs/>
          <w:sz w:val="28"/>
          <w:szCs w:val="28"/>
          <w:lang w:val="it-IT"/>
        </w:rPr>
        <w:t xml:space="preserve"> </w:t>
      </w:r>
      <w:r w:rsidR="002E69D7" w:rsidRPr="006A38FC">
        <w:rPr>
          <w:b/>
          <w:bCs/>
          <w:sz w:val="28"/>
          <w:szCs w:val="28"/>
          <w:lang w:val="it-IT"/>
        </w:rPr>
        <w:t xml:space="preserve">a </w:t>
      </w:r>
      <w:r w:rsidR="00E326E2" w:rsidRPr="006A38FC">
        <w:rPr>
          <w:b/>
          <w:bCs/>
          <w:sz w:val="28"/>
          <w:szCs w:val="28"/>
          <w:lang w:val="it-IT"/>
        </w:rPr>
        <w:t>differenti inter</w:t>
      </w:r>
      <w:r w:rsidR="00FC7E4D" w:rsidRPr="006A38FC">
        <w:rPr>
          <w:b/>
          <w:bCs/>
          <w:sz w:val="28"/>
          <w:szCs w:val="28"/>
          <w:lang w:val="it-IT"/>
        </w:rPr>
        <w:t>valli di tempo dalla som</w:t>
      </w:r>
      <w:r w:rsidR="00F130DE" w:rsidRPr="006A38FC">
        <w:rPr>
          <w:b/>
          <w:bCs/>
          <w:sz w:val="28"/>
          <w:szCs w:val="28"/>
          <w:lang w:val="it-IT"/>
        </w:rPr>
        <w:t xml:space="preserve">ministrazione </w:t>
      </w:r>
      <w:r w:rsidR="00405188" w:rsidRPr="006A38FC">
        <w:rPr>
          <w:b/>
          <w:bCs/>
          <w:sz w:val="28"/>
          <w:szCs w:val="28"/>
          <w:lang w:val="it-IT"/>
        </w:rPr>
        <w:t xml:space="preserve">della II dose </w:t>
      </w:r>
      <w:r w:rsidR="003D5DA3" w:rsidRPr="006A38FC">
        <w:rPr>
          <w:b/>
          <w:bCs/>
          <w:sz w:val="28"/>
          <w:szCs w:val="28"/>
          <w:lang w:val="it-IT"/>
        </w:rPr>
        <w:t xml:space="preserve">di un vaccino a </w:t>
      </w:r>
      <w:r w:rsidR="00FF5F38" w:rsidRPr="006A38FC">
        <w:rPr>
          <w:b/>
          <w:bCs/>
          <w:sz w:val="28"/>
          <w:szCs w:val="28"/>
          <w:lang w:val="it-IT"/>
        </w:rPr>
        <w:t>mR</w:t>
      </w:r>
      <w:r w:rsidR="00FF5F38">
        <w:rPr>
          <w:b/>
          <w:bCs/>
          <w:sz w:val="28"/>
          <w:szCs w:val="28"/>
          <w:lang w:val="it-IT"/>
        </w:rPr>
        <w:t>NA</w:t>
      </w:r>
    </w:p>
    <w:p w14:paraId="6593AAFA" w14:textId="2DFFCE60" w:rsidR="008D7742" w:rsidRPr="000B5480" w:rsidRDefault="25CEA0DC" w:rsidP="2C7E427C">
      <w:pPr>
        <w:spacing w:line="257" w:lineRule="auto"/>
        <w:jc w:val="both"/>
        <w:rPr>
          <w:lang w:val="it-IT"/>
        </w:rPr>
      </w:pPr>
      <w:r w:rsidRPr="00901B8A">
        <w:rPr>
          <w:rFonts w:ascii="Calibri" w:eastAsia="Calibri" w:hAnsi="Calibri" w:cs="Calibri"/>
          <w:lang w:val="it-IT"/>
        </w:rPr>
        <w:t xml:space="preserve">Al 15 settembre 2021, data di estrazione dei dati, </w:t>
      </w:r>
      <w:r w:rsidRPr="0BCC10A6">
        <w:rPr>
          <w:rFonts w:ascii="Calibri" w:eastAsia="Calibri" w:hAnsi="Calibri" w:cs="Calibri"/>
          <w:lang w:val="it-IT"/>
        </w:rPr>
        <w:t>più</w:t>
      </w:r>
      <w:r w:rsidRPr="00901B8A">
        <w:rPr>
          <w:rFonts w:ascii="Calibri" w:eastAsia="Calibri" w:hAnsi="Calibri" w:cs="Calibri"/>
          <w:lang w:val="it-IT"/>
        </w:rPr>
        <w:t xml:space="preserve"> di 43 milioni di persone avevano ricevuto almeno una dose dei vaccini autorizzati, corrispondenti a </w:t>
      </w:r>
      <w:r w:rsidRPr="0BCC10A6">
        <w:rPr>
          <w:rFonts w:ascii="Calibri" w:eastAsia="Calibri" w:hAnsi="Calibri" w:cs="Calibri"/>
          <w:lang w:val="it-IT"/>
        </w:rPr>
        <w:t>circa</w:t>
      </w:r>
      <w:r w:rsidRPr="00901B8A">
        <w:rPr>
          <w:rFonts w:ascii="Calibri" w:eastAsia="Calibri" w:hAnsi="Calibri" w:cs="Calibri"/>
          <w:lang w:val="it-IT"/>
        </w:rPr>
        <w:t xml:space="preserve"> il 73% della popolazione italiana </w:t>
      </w:r>
      <w:r w:rsidRPr="0BCC10A6">
        <w:rPr>
          <w:rFonts w:ascii="Calibri" w:eastAsia="Calibri" w:hAnsi="Calibri" w:cs="Calibri"/>
          <w:lang w:val="it-IT"/>
        </w:rPr>
        <w:t>e a più</w:t>
      </w:r>
      <w:r w:rsidRPr="00901B8A">
        <w:rPr>
          <w:rFonts w:ascii="Calibri" w:eastAsia="Calibri" w:hAnsi="Calibri" w:cs="Calibri"/>
          <w:lang w:val="it-IT"/>
        </w:rPr>
        <w:t xml:space="preserve"> del 78% della popolazione </w:t>
      </w:r>
      <w:r w:rsidR="00FF5F38">
        <w:rPr>
          <w:rFonts w:ascii="Calibri" w:eastAsia="Calibri" w:hAnsi="Calibri" w:cs="Calibri"/>
          <w:lang w:val="it-IT"/>
        </w:rPr>
        <w:t>con</w:t>
      </w:r>
      <w:r w:rsidRPr="00901B8A">
        <w:rPr>
          <w:rFonts w:ascii="Calibri" w:eastAsia="Calibri" w:hAnsi="Calibri" w:cs="Calibri"/>
          <w:lang w:val="it-IT"/>
        </w:rPr>
        <w:t xml:space="preserve"> età uguale o maggiore dei 12 anni. </w:t>
      </w:r>
      <w:r w:rsidRPr="000B5480">
        <w:rPr>
          <w:rFonts w:ascii="Calibri" w:eastAsia="Calibri" w:hAnsi="Calibri" w:cs="Calibri"/>
          <w:lang w:val="it-IT"/>
        </w:rPr>
        <w:t xml:space="preserve">Escludendo le persone con una precedente diagnosi di COVID-19, più di 40 milioni di persone risultavano vaccinate, delle quali </w:t>
      </w:r>
      <w:r w:rsidR="006518DE">
        <w:rPr>
          <w:rFonts w:ascii="Calibri" w:eastAsia="Calibri" w:hAnsi="Calibri" w:cs="Calibri"/>
          <w:lang w:val="it-IT"/>
        </w:rPr>
        <w:t>oltre</w:t>
      </w:r>
      <w:r w:rsidRPr="000B5480">
        <w:rPr>
          <w:rFonts w:ascii="Calibri" w:eastAsia="Calibri" w:hAnsi="Calibri" w:cs="Calibri"/>
          <w:lang w:val="it-IT"/>
        </w:rPr>
        <w:t xml:space="preserve"> 31 milioni, di età maggiore o uguale ai 16 anni, avevano ricevuto un vaccino a mRNA (</w:t>
      </w:r>
      <w:r w:rsidRPr="000B5480">
        <w:rPr>
          <w:rFonts w:ascii="Calibri" w:eastAsia="Calibri" w:hAnsi="Calibri" w:cs="Calibri"/>
          <w:b/>
          <w:lang w:val="it-IT"/>
        </w:rPr>
        <w:t>Figura 2</w:t>
      </w:r>
      <w:r w:rsidRPr="000B5480">
        <w:rPr>
          <w:rFonts w:ascii="Calibri" w:eastAsia="Calibri" w:hAnsi="Calibri" w:cs="Calibri"/>
          <w:lang w:val="it-IT"/>
        </w:rPr>
        <w:t>).</w:t>
      </w:r>
    </w:p>
    <w:p w14:paraId="528CDBA1" w14:textId="5DAE1861" w:rsidR="008D7742" w:rsidRPr="008A47F6" w:rsidRDefault="00310336" w:rsidP="006F751D">
      <w:pPr>
        <w:jc w:val="both"/>
        <w:rPr>
          <w:color w:val="000000" w:themeColor="text1"/>
          <w:lang w:val="it-IT" w:eastAsia="da-DK"/>
        </w:rPr>
      </w:pPr>
      <w:r w:rsidRPr="008E6ABC">
        <w:rPr>
          <w:b/>
          <w:lang w:val="it-IT"/>
        </w:rPr>
        <w:t xml:space="preserve">Figure </w:t>
      </w:r>
      <w:r w:rsidR="005973A2" w:rsidRPr="008E6ABC">
        <w:rPr>
          <w:b/>
          <w:lang w:val="it-IT"/>
        </w:rPr>
        <w:t>3</w:t>
      </w:r>
      <w:r w:rsidR="00613681" w:rsidRPr="008E6ABC">
        <w:rPr>
          <w:b/>
          <w:lang w:val="it-IT"/>
        </w:rPr>
        <w:t xml:space="preserve">. </w:t>
      </w:r>
      <w:bookmarkStart w:id="1" w:name="_Hlk83829945"/>
      <w:r w:rsidR="006A38FC" w:rsidRPr="008A47F6">
        <w:rPr>
          <w:bCs/>
          <w:lang w:val="it-IT"/>
        </w:rPr>
        <w:t xml:space="preserve">Distribuzione cumulativa </w:t>
      </w:r>
      <w:r w:rsidR="000A7A01" w:rsidRPr="008A47F6">
        <w:rPr>
          <w:bCs/>
          <w:lang w:val="it-IT"/>
        </w:rPr>
        <w:t>(</w:t>
      </w:r>
      <w:r w:rsidR="0035778B">
        <w:rPr>
          <w:bCs/>
          <w:lang w:val="it-IT"/>
        </w:rPr>
        <w:t>panel</w:t>
      </w:r>
      <w:r w:rsidR="0035778B" w:rsidRPr="008A47F6">
        <w:rPr>
          <w:bCs/>
          <w:lang w:val="it-IT"/>
        </w:rPr>
        <w:t xml:space="preserve"> </w:t>
      </w:r>
      <w:r w:rsidR="000A7A01" w:rsidRPr="008A47F6">
        <w:rPr>
          <w:bCs/>
          <w:lang w:val="it-IT"/>
        </w:rPr>
        <w:t xml:space="preserve">A) </w:t>
      </w:r>
      <w:r w:rsidR="006A38FC" w:rsidRPr="008A47F6">
        <w:rPr>
          <w:bCs/>
          <w:lang w:val="it-IT"/>
        </w:rPr>
        <w:t xml:space="preserve">e relativa </w:t>
      </w:r>
      <w:r w:rsidR="000A7A01" w:rsidRPr="008A47F6">
        <w:rPr>
          <w:bCs/>
          <w:lang w:val="it-IT"/>
        </w:rPr>
        <w:t>(</w:t>
      </w:r>
      <w:r w:rsidR="0035778B">
        <w:rPr>
          <w:bCs/>
          <w:lang w:val="it-IT"/>
        </w:rPr>
        <w:t>panel</w:t>
      </w:r>
      <w:r w:rsidR="0035778B" w:rsidRPr="008A47F6">
        <w:rPr>
          <w:bCs/>
          <w:lang w:val="it-IT"/>
        </w:rPr>
        <w:t xml:space="preserve"> </w:t>
      </w:r>
      <w:r w:rsidR="000A7A01" w:rsidRPr="008A47F6">
        <w:rPr>
          <w:bCs/>
          <w:lang w:val="it-IT"/>
        </w:rPr>
        <w:t xml:space="preserve">B) </w:t>
      </w:r>
      <w:r w:rsidR="0061175C" w:rsidRPr="008A47F6">
        <w:rPr>
          <w:bCs/>
          <w:lang w:val="it-IT"/>
        </w:rPr>
        <w:t xml:space="preserve">per settimana e </w:t>
      </w:r>
      <w:r w:rsidR="00FF5F38">
        <w:rPr>
          <w:bCs/>
          <w:lang w:val="it-IT"/>
        </w:rPr>
        <w:t>fascia</w:t>
      </w:r>
      <w:r w:rsidR="00FF5F38" w:rsidRPr="008A47F6">
        <w:rPr>
          <w:bCs/>
          <w:lang w:val="it-IT"/>
        </w:rPr>
        <w:t xml:space="preserve"> </w:t>
      </w:r>
      <w:r w:rsidR="0061175C" w:rsidRPr="008A47F6">
        <w:rPr>
          <w:bCs/>
          <w:lang w:val="it-IT"/>
        </w:rPr>
        <w:t xml:space="preserve">di età </w:t>
      </w:r>
      <w:r w:rsidR="003F68F8" w:rsidRPr="008A47F6">
        <w:rPr>
          <w:bCs/>
          <w:lang w:val="it-IT"/>
        </w:rPr>
        <w:t xml:space="preserve">del numero di </w:t>
      </w:r>
      <w:r w:rsidR="00C2785F" w:rsidRPr="008A47F6">
        <w:rPr>
          <w:bCs/>
          <w:lang w:val="it-IT"/>
        </w:rPr>
        <w:t xml:space="preserve">prime dosi </w:t>
      </w:r>
      <w:r w:rsidR="000D1397" w:rsidRPr="008A47F6">
        <w:rPr>
          <w:bCs/>
          <w:lang w:val="it-IT"/>
        </w:rPr>
        <w:t xml:space="preserve">somministrate </w:t>
      </w:r>
      <w:r w:rsidR="001779BF" w:rsidRPr="008A47F6">
        <w:rPr>
          <w:bCs/>
          <w:lang w:val="it-IT"/>
        </w:rPr>
        <w:t>in persone v</w:t>
      </w:r>
      <w:r w:rsidR="00FA3408" w:rsidRPr="008A47F6">
        <w:rPr>
          <w:bCs/>
          <w:lang w:val="it-IT"/>
        </w:rPr>
        <w:t xml:space="preserve">accinate con vaccini a </w:t>
      </w:r>
      <w:r w:rsidR="008A47F6" w:rsidRPr="008A47F6">
        <w:rPr>
          <w:bCs/>
          <w:lang w:val="it-IT"/>
        </w:rPr>
        <w:t>m</w:t>
      </w:r>
      <w:r w:rsidR="00FA3408" w:rsidRPr="008A47F6">
        <w:rPr>
          <w:bCs/>
          <w:lang w:val="it-IT"/>
        </w:rPr>
        <w:t>R</w:t>
      </w:r>
      <w:r w:rsidR="00FF5F38">
        <w:rPr>
          <w:bCs/>
          <w:lang w:val="it-IT"/>
        </w:rPr>
        <w:t>NA</w:t>
      </w:r>
      <w:r w:rsidR="008A47F6" w:rsidRPr="008A47F6">
        <w:rPr>
          <w:bCs/>
          <w:lang w:val="it-IT"/>
        </w:rPr>
        <w:t xml:space="preserve"> (</w:t>
      </w:r>
      <w:r w:rsidR="00957A44" w:rsidRPr="008A47F6">
        <w:rPr>
          <w:bCs/>
          <w:color w:val="000000" w:themeColor="text1"/>
          <w:lang w:val="it-IT" w:eastAsia="da-DK"/>
        </w:rPr>
        <w:t>Comirnaty</w:t>
      </w:r>
      <w:r w:rsidR="008A47F6" w:rsidRPr="008A47F6">
        <w:rPr>
          <w:bCs/>
          <w:color w:val="000000" w:themeColor="text1"/>
          <w:lang w:val="it-IT" w:eastAsia="da-DK"/>
        </w:rPr>
        <w:t>/</w:t>
      </w:r>
      <w:r w:rsidR="00957A44" w:rsidRPr="008A47F6">
        <w:rPr>
          <w:bCs/>
          <w:color w:val="000000" w:themeColor="text1"/>
          <w:lang w:val="it-IT" w:eastAsia="da-DK"/>
        </w:rPr>
        <w:t>Spikevax</w:t>
      </w:r>
      <w:r w:rsidR="008A47F6">
        <w:rPr>
          <w:bCs/>
          <w:color w:val="000000" w:themeColor="text1"/>
          <w:lang w:val="it-IT" w:eastAsia="da-DK"/>
        </w:rPr>
        <w:t>) in Italia</w:t>
      </w:r>
    </w:p>
    <w:bookmarkEnd w:id="1"/>
    <w:p w14:paraId="7A83B93E" w14:textId="3E19C4ED" w:rsidR="00957A44" w:rsidRDefault="00BE1871" w:rsidP="006F751D">
      <w:pPr>
        <w:jc w:val="both"/>
        <w:rPr>
          <w:color w:val="000000" w:themeColor="text1"/>
          <w:lang w:val="en-GB" w:eastAsia="da-DK"/>
        </w:rPr>
      </w:pPr>
      <w:r>
        <w:rPr>
          <w:noProof/>
          <w:lang w:val="it-IT" w:eastAsia="it-IT"/>
        </w:rPr>
        <w:drawing>
          <wp:inline distT="0" distB="0" distL="0" distR="0" wp14:anchorId="283A6A60" wp14:editId="3D8ACFD0">
            <wp:extent cx="6118497" cy="63944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5">
                      <a:extLst>
                        <a:ext uri="{28A0092B-C50C-407E-A947-70E740481C1C}">
                          <a14:useLocalDpi xmlns:a14="http://schemas.microsoft.com/office/drawing/2010/main" val="0"/>
                        </a:ext>
                      </a:extLst>
                    </a:blip>
                    <a:stretch>
                      <a:fillRect/>
                    </a:stretch>
                  </pic:blipFill>
                  <pic:spPr>
                    <a:xfrm>
                      <a:off x="0" y="0"/>
                      <a:ext cx="6118497" cy="6394450"/>
                    </a:xfrm>
                    <a:prstGeom prst="rect">
                      <a:avLst/>
                    </a:prstGeom>
                  </pic:spPr>
                </pic:pic>
              </a:graphicData>
            </a:graphic>
          </wp:inline>
        </w:drawing>
      </w:r>
    </w:p>
    <w:p w14:paraId="45F06E7F" w14:textId="434AE413" w:rsidR="4E52979C" w:rsidRPr="003345DF" w:rsidRDefault="4E52979C" w:rsidP="530A89F6">
      <w:pPr>
        <w:jc w:val="both"/>
        <w:rPr>
          <w:color w:val="000000" w:themeColor="text1"/>
          <w:lang w:val="it-IT" w:eastAsia="da-DK"/>
        </w:rPr>
      </w:pPr>
      <w:r w:rsidRPr="57807457">
        <w:rPr>
          <w:color w:val="000000" w:themeColor="text1"/>
          <w:lang w:val="it-IT" w:eastAsia="da-DK"/>
        </w:rPr>
        <w:lastRenderedPageBreak/>
        <w:t xml:space="preserve">La </w:t>
      </w:r>
      <w:r w:rsidR="09891CD1" w:rsidRPr="57807457">
        <w:rPr>
          <w:b/>
          <w:bCs/>
          <w:color w:val="000000" w:themeColor="text1"/>
          <w:lang w:val="it-IT" w:eastAsia="da-DK"/>
        </w:rPr>
        <w:t>Figura</w:t>
      </w:r>
      <w:r w:rsidRPr="57807457">
        <w:rPr>
          <w:b/>
          <w:bCs/>
          <w:color w:val="000000" w:themeColor="text1"/>
          <w:lang w:val="it-IT" w:eastAsia="da-DK"/>
        </w:rPr>
        <w:t xml:space="preserve"> 3</w:t>
      </w:r>
      <w:r w:rsidRPr="57807457">
        <w:rPr>
          <w:color w:val="000000" w:themeColor="text1"/>
          <w:lang w:val="it-IT" w:eastAsia="da-DK"/>
        </w:rPr>
        <w:t xml:space="preserve"> mostra il numero cumulativo (panel A) e la distribuzione delle somministrazioni della prima dose </w:t>
      </w:r>
      <w:r w:rsidR="0035778B" w:rsidRPr="57807457">
        <w:rPr>
          <w:color w:val="000000" w:themeColor="text1"/>
          <w:lang w:val="it-IT" w:eastAsia="da-DK"/>
        </w:rPr>
        <w:t>(panel B)</w:t>
      </w:r>
      <w:r w:rsidR="0035778B">
        <w:rPr>
          <w:color w:val="000000" w:themeColor="text1"/>
          <w:lang w:val="it-IT" w:eastAsia="da-DK"/>
        </w:rPr>
        <w:t xml:space="preserve"> </w:t>
      </w:r>
      <w:r w:rsidRPr="57807457">
        <w:rPr>
          <w:color w:val="000000" w:themeColor="text1"/>
          <w:lang w:val="it-IT" w:eastAsia="da-DK"/>
        </w:rPr>
        <w:t xml:space="preserve">per settimana e </w:t>
      </w:r>
      <w:r w:rsidR="195F8055" w:rsidRPr="57807457">
        <w:rPr>
          <w:color w:val="000000" w:themeColor="text1"/>
          <w:lang w:val="it-IT" w:eastAsia="da-DK"/>
        </w:rPr>
        <w:t xml:space="preserve">classe </w:t>
      </w:r>
      <w:r w:rsidRPr="57807457">
        <w:rPr>
          <w:color w:val="000000" w:themeColor="text1"/>
          <w:lang w:val="it-IT" w:eastAsia="da-DK"/>
        </w:rPr>
        <w:t>d’età. Da sottolineare che la distribuzione per</w:t>
      </w:r>
      <w:r w:rsidR="3D649F6E" w:rsidRPr="57807457">
        <w:rPr>
          <w:color w:val="000000" w:themeColor="text1"/>
          <w:lang w:val="it-IT" w:eastAsia="da-DK"/>
        </w:rPr>
        <w:t xml:space="preserve"> classe</w:t>
      </w:r>
      <w:r w:rsidRPr="57807457">
        <w:rPr>
          <w:color w:val="000000" w:themeColor="text1"/>
          <w:lang w:val="it-IT" w:eastAsia="da-DK"/>
        </w:rPr>
        <w:t xml:space="preserve"> d’età e settimana di somministrazione rispecchia l’indicazione governativa di rispettare un ordine di priorità nelle vaccinazioni</w:t>
      </w:r>
      <w:r w:rsidR="00005D43">
        <w:rPr>
          <w:color w:val="000000" w:themeColor="text1"/>
          <w:lang w:val="it-IT" w:eastAsia="da-DK"/>
        </w:rPr>
        <w:t>,</w:t>
      </w:r>
      <w:r w:rsidRPr="57807457">
        <w:rPr>
          <w:color w:val="000000" w:themeColor="text1"/>
          <w:lang w:val="it-IT" w:eastAsia="da-DK"/>
        </w:rPr>
        <w:t xml:space="preserve"> rappresentato da categorie quali </w:t>
      </w:r>
      <w:r w:rsidR="05F17A63" w:rsidRPr="57807457">
        <w:rPr>
          <w:color w:val="000000" w:themeColor="text1"/>
          <w:lang w:val="it-IT" w:eastAsia="da-DK"/>
        </w:rPr>
        <w:t>gli operatori sanitari</w:t>
      </w:r>
      <w:r w:rsidRPr="57807457">
        <w:rPr>
          <w:color w:val="000000" w:themeColor="text1"/>
          <w:lang w:val="it-IT" w:eastAsia="da-DK"/>
        </w:rPr>
        <w:t xml:space="preserve">, </w:t>
      </w:r>
      <w:r w:rsidR="705BA650" w:rsidRPr="57807457">
        <w:rPr>
          <w:color w:val="000000" w:themeColor="text1"/>
          <w:lang w:val="it-IT" w:eastAsia="da-DK"/>
        </w:rPr>
        <w:t xml:space="preserve">gli ospiti delle </w:t>
      </w:r>
      <w:r w:rsidRPr="57807457">
        <w:rPr>
          <w:color w:val="000000" w:themeColor="text1"/>
          <w:lang w:val="it-IT" w:eastAsia="da-DK"/>
        </w:rPr>
        <w:t>residenze sanitarie assistite</w:t>
      </w:r>
      <w:r w:rsidR="4CF178D5" w:rsidRPr="57807457">
        <w:rPr>
          <w:color w:val="000000" w:themeColor="text1"/>
          <w:lang w:val="it-IT" w:eastAsia="da-DK"/>
        </w:rPr>
        <w:t>,</w:t>
      </w:r>
      <w:r w:rsidRPr="57807457">
        <w:rPr>
          <w:color w:val="000000" w:themeColor="text1"/>
          <w:lang w:val="it-IT" w:eastAsia="da-DK"/>
        </w:rPr>
        <w:t xml:space="preserve"> </w:t>
      </w:r>
      <w:r w:rsidR="006309C9" w:rsidRPr="57807457">
        <w:rPr>
          <w:color w:val="000000" w:themeColor="text1"/>
          <w:lang w:val="it-IT" w:eastAsia="da-DK"/>
        </w:rPr>
        <w:t xml:space="preserve">le persone </w:t>
      </w:r>
      <w:r w:rsidRPr="57807457">
        <w:rPr>
          <w:color w:val="000000" w:themeColor="text1"/>
          <w:lang w:val="it-IT" w:eastAsia="da-DK"/>
        </w:rPr>
        <w:t xml:space="preserve">con comorbidità e </w:t>
      </w:r>
      <w:r w:rsidR="008D2B74" w:rsidRPr="57807457">
        <w:rPr>
          <w:color w:val="000000" w:themeColor="text1"/>
          <w:lang w:val="it-IT" w:eastAsia="da-DK"/>
        </w:rPr>
        <w:t xml:space="preserve">quelle </w:t>
      </w:r>
      <w:r w:rsidRPr="57807457">
        <w:rPr>
          <w:color w:val="000000" w:themeColor="text1"/>
          <w:lang w:val="it-IT" w:eastAsia="da-DK"/>
        </w:rPr>
        <w:t xml:space="preserve">di età maggiore o uguale a 80 anni (periodo di febbraio-marzo). In una fase successiva, il principale criterio di </w:t>
      </w:r>
      <w:r w:rsidR="0035778B">
        <w:rPr>
          <w:color w:val="000000" w:themeColor="text1"/>
          <w:lang w:val="it-IT" w:eastAsia="da-DK"/>
        </w:rPr>
        <w:t>priorità</w:t>
      </w:r>
      <w:r w:rsidR="0035778B" w:rsidRPr="57807457">
        <w:rPr>
          <w:color w:val="000000" w:themeColor="text1"/>
          <w:lang w:val="it-IT" w:eastAsia="da-DK"/>
        </w:rPr>
        <w:t xml:space="preserve"> </w:t>
      </w:r>
      <w:r w:rsidRPr="57807457">
        <w:rPr>
          <w:color w:val="000000" w:themeColor="text1"/>
          <w:lang w:val="it-IT" w:eastAsia="da-DK"/>
        </w:rPr>
        <w:t xml:space="preserve">è stato quello </w:t>
      </w:r>
      <w:r w:rsidR="00005D43">
        <w:rPr>
          <w:color w:val="000000" w:themeColor="text1"/>
          <w:lang w:val="it-IT" w:eastAsia="da-DK"/>
        </w:rPr>
        <w:t>relativo</w:t>
      </w:r>
      <w:r w:rsidR="00005D43" w:rsidRPr="57807457">
        <w:rPr>
          <w:color w:val="000000" w:themeColor="text1"/>
          <w:lang w:val="it-IT" w:eastAsia="da-DK"/>
        </w:rPr>
        <w:t xml:space="preserve"> </w:t>
      </w:r>
      <w:r w:rsidRPr="57807457">
        <w:rPr>
          <w:color w:val="000000" w:themeColor="text1"/>
          <w:lang w:val="it-IT" w:eastAsia="da-DK"/>
        </w:rPr>
        <w:t>all</w:t>
      </w:r>
      <w:r w:rsidR="00005D43">
        <w:rPr>
          <w:color w:val="000000" w:themeColor="text1"/>
          <w:lang w:val="it-IT" w:eastAsia="da-DK"/>
        </w:rPr>
        <w:t>’</w:t>
      </w:r>
      <w:r w:rsidRPr="57807457">
        <w:rPr>
          <w:color w:val="000000" w:themeColor="text1"/>
          <w:lang w:val="it-IT" w:eastAsia="da-DK"/>
        </w:rPr>
        <w:t>età. Circa l’85% delle persone ha ricevuto un vaccino a</w:t>
      </w:r>
      <w:r w:rsidR="741D2E8E" w:rsidRPr="57807457">
        <w:rPr>
          <w:color w:val="000000" w:themeColor="text1"/>
          <w:lang w:val="it-IT" w:eastAsia="da-DK"/>
        </w:rPr>
        <w:t xml:space="preserve"> </w:t>
      </w:r>
      <w:r w:rsidRPr="57807457">
        <w:rPr>
          <w:color w:val="000000" w:themeColor="text1"/>
          <w:lang w:val="it-IT" w:eastAsia="da-DK"/>
        </w:rPr>
        <w:t>mRNA</w:t>
      </w:r>
      <w:r w:rsidR="0035778B">
        <w:rPr>
          <w:color w:val="000000" w:themeColor="text1"/>
          <w:lang w:val="it-IT" w:eastAsia="da-DK"/>
        </w:rPr>
        <w:t>,</w:t>
      </w:r>
      <w:r w:rsidRPr="57807457">
        <w:rPr>
          <w:color w:val="000000" w:themeColor="text1"/>
          <w:lang w:val="it-IT" w:eastAsia="da-DK"/>
        </w:rPr>
        <w:t xml:space="preserve"> Cominarty è stato il vaccino maggiormente utilizzato</w:t>
      </w:r>
      <w:r w:rsidR="6E39F952" w:rsidRPr="57807457">
        <w:rPr>
          <w:color w:val="000000" w:themeColor="text1"/>
          <w:lang w:val="it-IT" w:eastAsia="da-DK"/>
        </w:rPr>
        <w:t xml:space="preserve"> (</w:t>
      </w:r>
      <w:r w:rsidR="6E39F952" w:rsidRPr="57807457">
        <w:rPr>
          <w:b/>
          <w:bCs/>
          <w:color w:val="000000" w:themeColor="text1"/>
          <w:lang w:val="it-IT" w:eastAsia="da-DK"/>
        </w:rPr>
        <w:t>Figura 4</w:t>
      </w:r>
      <w:r w:rsidR="6E39F952" w:rsidRPr="57807457">
        <w:rPr>
          <w:color w:val="000000" w:themeColor="text1"/>
          <w:lang w:val="it-IT" w:eastAsia="da-DK"/>
        </w:rPr>
        <w:t>)</w:t>
      </w:r>
      <w:r w:rsidR="09891CD1" w:rsidRPr="57807457">
        <w:rPr>
          <w:color w:val="000000" w:themeColor="text1"/>
          <w:lang w:val="it-IT" w:eastAsia="da-DK"/>
        </w:rPr>
        <w:t>.</w:t>
      </w:r>
      <w:r w:rsidR="00C91238">
        <w:rPr>
          <w:color w:val="000000" w:themeColor="text1"/>
          <w:lang w:val="it-IT" w:eastAsia="da-DK"/>
        </w:rPr>
        <w:t xml:space="preserve"> </w:t>
      </w:r>
    </w:p>
    <w:p w14:paraId="1EA23557" w14:textId="3E19C4ED" w:rsidR="263E5C5A" w:rsidRPr="003345DF" w:rsidRDefault="263E5C5A" w:rsidP="263E5C5A">
      <w:pPr>
        <w:jc w:val="both"/>
        <w:rPr>
          <w:color w:val="000000" w:themeColor="text1"/>
          <w:lang w:val="it-IT" w:eastAsia="da-DK"/>
        </w:rPr>
      </w:pPr>
    </w:p>
    <w:p w14:paraId="79988186" w14:textId="202171D7" w:rsidR="00957A44" w:rsidRPr="008E6ABC" w:rsidRDefault="00957A44" w:rsidP="00957A44">
      <w:pPr>
        <w:jc w:val="both"/>
        <w:rPr>
          <w:color w:val="000000" w:themeColor="text1"/>
          <w:lang w:val="it-IT" w:eastAsia="da-DK"/>
        </w:rPr>
      </w:pPr>
      <w:r w:rsidRPr="008E6ABC">
        <w:rPr>
          <w:b/>
          <w:bCs/>
          <w:color w:val="000000" w:themeColor="text1"/>
          <w:lang w:val="it-IT" w:eastAsia="da-DK"/>
        </w:rPr>
        <w:t xml:space="preserve">Figure </w:t>
      </w:r>
      <w:r w:rsidR="005973A2" w:rsidRPr="008E6ABC">
        <w:rPr>
          <w:b/>
          <w:bCs/>
          <w:color w:val="000000" w:themeColor="text1"/>
          <w:lang w:val="it-IT" w:eastAsia="da-DK"/>
        </w:rPr>
        <w:t>4</w:t>
      </w:r>
      <w:r w:rsidRPr="008E6ABC">
        <w:rPr>
          <w:b/>
          <w:bCs/>
          <w:color w:val="000000" w:themeColor="text1"/>
          <w:lang w:val="it-IT" w:eastAsia="da-DK"/>
        </w:rPr>
        <w:t>.</w:t>
      </w:r>
      <w:r w:rsidRPr="008E6ABC">
        <w:rPr>
          <w:color w:val="000000" w:themeColor="text1"/>
          <w:lang w:val="it-IT" w:eastAsia="da-DK"/>
        </w:rPr>
        <w:t xml:space="preserve"> </w:t>
      </w:r>
      <w:r w:rsidR="4562C9E3" w:rsidRPr="008E6ABC">
        <w:rPr>
          <w:color w:val="000000" w:themeColor="text1"/>
          <w:lang w:val="it-IT" w:eastAsia="da-DK"/>
        </w:rPr>
        <w:t>Distribuzione cumulativa</w:t>
      </w:r>
      <w:r w:rsidRPr="008E6ABC">
        <w:rPr>
          <w:lang w:val="it-IT"/>
        </w:rPr>
        <w:t xml:space="preserve"> (</w:t>
      </w:r>
      <w:r w:rsidR="0035778B">
        <w:rPr>
          <w:lang w:val="it-IT"/>
        </w:rPr>
        <w:t>panel</w:t>
      </w:r>
      <w:r w:rsidR="0035778B" w:rsidRPr="008E6ABC">
        <w:rPr>
          <w:lang w:val="it-IT"/>
        </w:rPr>
        <w:t xml:space="preserve"> </w:t>
      </w:r>
      <w:r w:rsidRPr="008E6ABC">
        <w:rPr>
          <w:lang w:val="it-IT"/>
        </w:rPr>
        <w:t xml:space="preserve">A) </w:t>
      </w:r>
      <w:r w:rsidR="7382191C" w:rsidRPr="008E6ABC">
        <w:rPr>
          <w:lang w:val="it-IT"/>
        </w:rPr>
        <w:t>e</w:t>
      </w:r>
      <w:r w:rsidRPr="008E6ABC">
        <w:rPr>
          <w:lang w:val="it-IT"/>
        </w:rPr>
        <w:t xml:space="preserve"> </w:t>
      </w:r>
      <w:r w:rsidR="45E6FC05" w:rsidRPr="008E6ABC">
        <w:rPr>
          <w:lang w:val="it-IT"/>
        </w:rPr>
        <w:t>relativa</w:t>
      </w:r>
      <w:r w:rsidRPr="008E6ABC">
        <w:rPr>
          <w:lang w:val="it-IT"/>
        </w:rPr>
        <w:t xml:space="preserve"> (</w:t>
      </w:r>
      <w:r w:rsidR="0035778B">
        <w:rPr>
          <w:lang w:val="it-IT"/>
        </w:rPr>
        <w:t>panel</w:t>
      </w:r>
      <w:r w:rsidR="0035778B" w:rsidRPr="008E6ABC">
        <w:rPr>
          <w:lang w:val="it-IT"/>
        </w:rPr>
        <w:t xml:space="preserve"> </w:t>
      </w:r>
      <w:r w:rsidRPr="008E6ABC">
        <w:rPr>
          <w:lang w:val="it-IT"/>
        </w:rPr>
        <w:t xml:space="preserve">B) </w:t>
      </w:r>
      <w:r w:rsidR="6C647A29" w:rsidRPr="008E6ABC">
        <w:rPr>
          <w:lang w:val="it-IT"/>
        </w:rPr>
        <w:t xml:space="preserve">della somministrazione della prima dose di vaccino per settimana </w:t>
      </w:r>
      <w:r w:rsidR="07B80FDC" w:rsidRPr="008E6ABC">
        <w:rPr>
          <w:lang w:val="it-IT"/>
        </w:rPr>
        <w:t>e</w:t>
      </w:r>
      <w:r w:rsidRPr="008E6ABC">
        <w:rPr>
          <w:lang w:val="it-IT"/>
        </w:rPr>
        <w:t xml:space="preserve"> </w:t>
      </w:r>
      <w:r w:rsidRPr="008E6ABC">
        <w:rPr>
          <w:i/>
          <w:iCs/>
          <w:lang w:val="it-IT"/>
        </w:rPr>
        <w:t>brand</w:t>
      </w:r>
      <w:r w:rsidRPr="008E6ABC">
        <w:rPr>
          <w:lang w:val="it-IT"/>
        </w:rPr>
        <w:t xml:space="preserve"> </w:t>
      </w:r>
      <w:r w:rsidR="1B98707B" w:rsidRPr="008E6ABC">
        <w:rPr>
          <w:lang w:val="it-IT"/>
        </w:rPr>
        <w:t>nelle persone vaccinate con vaccini a</w:t>
      </w:r>
      <w:r w:rsidR="4330C668" w:rsidRPr="008E6ABC">
        <w:rPr>
          <w:lang w:val="it-IT"/>
        </w:rPr>
        <w:t xml:space="preserve"> mRNA</w:t>
      </w:r>
      <w:r w:rsidRPr="008E6ABC">
        <w:rPr>
          <w:color w:val="000000" w:themeColor="text1"/>
          <w:lang w:val="it-IT" w:eastAsia="da-DK"/>
        </w:rPr>
        <w:t xml:space="preserve"> </w:t>
      </w:r>
      <w:r w:rsidR="6F6DA1CF" w:rsidRPr="008E6ABC">
        <w:rPr>
          <w:color w:val="000000" w:themeColor="text1"/>
          <w:lang w:val="it-IT" w:eastAsia="da-DK"/>
        </w:rPr>
        <w:t>(</w:t>
      </w:r>
      <w:r w:rsidRPr="008E6ABC">
        <w:rPr>
          <w:color w:val="000000" w:themeColor="text1"/>
          <w:lang w:val="it-IT" w:eastAsia="da-DK"/>
        </w:rPr>
        <w:t>Comirnaty</w:t>
      </w:r>
      <w:r w:rsidR="403DE5E9" w:rsidRPr="008E6ABC">
        <w:rPr>
          <w:color w:val="000000" w:themeColor="text1"/>
          <w:lang w:val="it-IT" w:eastAsia="da-DK"/>
        </w:rPr>
        <w:t>/</w:t>
      </w:r>
      <w:r w:rsidRPr="008E6ABC">
        <w:rPr>
          <w:color w:val="000000" w:themeColor="text1"/>
          <w:lang w:val="it-IT" w:eastAsia="da-DK"/>
        </w:rPr>
        <w:t>Spikevax</w:t>
      </w:r>
      <w:r w:rsidR="1E8D6A93" w:rsidRPr="008E6ABC">
        <w:rPr>
          <w:color w:val="000000" w:themeColor="text1"/>
          <w:lang w:val="it-IT" w:eastAsia="da-DK"/>
        </w:rPr>
        <w:t xml:space="preserve">) </w:t>
      </w:r>
      <w:r w:rsidR="2E73A845" w:rsidRPr="008E6ABC">
        <w:rPr>
          <w:color w:val="000000" w:themeColor="text1"/>
          <w:lang w:val="it-IT" w:eastAsia="da-DK"/>
        </w:rPr>
        <w:t>in Italia</w:t>
      </w:r>
    </w:p>
    <w:p w14:paraId="77C07491" w14:textId="3E19C4ED" w:rsidR="00AC0E81" w:rsidRPr="008E6ABC" w:rsidRDefault="00AC0E81" w:rsidP="00957A44">
      <w:pPr>
        <w:jc w:val="both"/>
        <w:rPr>
          <w:color w:val="000000" w:themeColor="text1"/>
          <w:lang w:val="it-IT" w:eastAsia="da-DK"/>
        </w:rPr>
      </w:pPr>
    </w:p>
    <w:p w14:paraId="2D779F3B" w14:textId="3E19C4ED" w:rsidR="00957A44" w:rsidRDefault="00D42176" w:rsidP="006F751D">
      <w:pPr>
        <w:jc w:val="both"/>
        <w:rPr>
          <w:b/>
        </w:rPr>
      </w:pPr>
      <w:r>
        <w:rPr>
          <w:noProof/>
          <w:lang w:val="it-IT" w:eastAsia="it-IT"/>
        </w:rPr>
        <w:drawing>
          <wp:inline distT="0" distB="0" distL="0" distR="0" wp14:anchorId="0C4B59A5" wp14:editId="03A81BA9">
            <wp:extent cx="6118497" cy="63944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6">
                      <a:extLst>
                        <a:ext uri="{28A0092B-C50C-407E-A947-70E740481C1C}">
                          <a14:useLocalDpi xmlns:a14="http://schemas.microsoft.com/office/drawing/2010/main" val="0"/>
                        </a:ext>
                      </a:extLst>
                    </a:blip>
                    <a:stretch>
                      <a:fillRect/>
                    </a:stretch>
                  </pic:blipFill>
                  <pic:spPr>
                    <a:xfrm>
                      <a:off x="0" y="0"/>
                      <a:ext cx="6118497" cy="6394450"/>
                    </a:xfrm>
                    <a:prstGeom prst="rect">
                      <a:avLst/>
                    </a:prstGeom>
                  </pic:spPr>
                </pic:pic>
              </a:graphicData>
            </a:graphic>
          </wp:inline>
        </w:drawing>
      </w:r>
    </w:p>
    <w:p w14:paraId="1621A4E9" w14:textId="555E139F" w:rsidR="2D42D984" w:rsidRPr="006F3BD8" w:rsidRDefault="2D42D984" w:rsidP="4CB3A686">
      <w:pPr>
        <w:jc w:val="both"/>
        <w:rPr>
          <w:lang w:val="it-IT"/>
        </w:rPr>
      </w:pPr>
      <w:r w:rsidRPr="57807457">
        <w:rPr>
          <w:lang w:val="it-IT"/>
        </w:rPr>
        <w:lastRenderedPageBreak/>
        <w:t xml:space="preserve">L’analisi dei tassi di incidenza di diagnosi di COVID-19 (sintomatico e asintomatico) si è basata su 29 milioni di persone vaccinate entro la data del 15 agosto 2021; le analisi relative a esiti gravi, cioè </w:t>
      </w:r>
      <w:r w:rsidR="75073518" w:rsidRPr="57807457">
        <w:rPr>
          <w:lang w:val="it-IT"/>
        </w:rPr>
        <w:t>ricovero</w:t>
      </w:r>
      <w:r w:rsidRPr="57807457">
        <w:rPr>
          <w:lang w:val="it-IT"/>
        </w:rPr>
        <w:t xml:space="preserve">, </w:t>
      </w:r>
      <w:r w:rsidR="002A1FBD">
        <w:rPr>
          <w:lang w:val="it-IT"/>
        </w:rPr>
        <w:t>ricovero</w:t>
      </w:r>
      <w:r w:rsidR="002A1FBD" w:rsidRPr="57807457">
        <w:rPr>
          <w:lang w:val="it-IT"/>
        </w:rPr>
        <w:t xml:space="preserve"> </w:t>
      </w:r>
      <w:r w:rsidRPr="57807457">
        <w:rPr>
          <w:lang w:val="it-IT"/>
        </w:rPr>
        <w:t xml:space="preserve">in TI e decesso successivi a diagnosi per COVID-19, </w:t>
      </w:r>
      <w:r w:rsidR="002A1FBD">
        <w:rPr>
          <w:lang w:val="it-IT"/>
        </w:rPr>
        <w:t>hanno riguardato</w:t>
      </w:r>
      <w:r w:rsidRPr="57807457">
        <w:rPr>
          <w:lang w:val="it-IT"/>
        </w:rPr>
        <w:t xml:space="preserve"> più </w:t>
      </w:r>
      <w:r w:rsidR="002A1FBD">
        <w:rPr>
          <w:lang w:val="it-IT"/>
        </w:rPr>
        <w:t xml:space="preserve">di </w:t>
      </w:r>
      <w:r w:rsidRPr="57807457">
        <w:rPr>
          <w:lang w:val="it-IT"/>
        </w:rPr>
        <w:t>26 milioni di persone vaccinate entro la data del 18 luglio 2021.</w:t>
      </w:r>
      <w:r w:rsidR="212292F4" w:rsidRPr="57807457">
        <w:rPr>
          <w:lang w:val="it-IT"/>
        </w:rPr>
        <w:t xml:space="preserve"> Per quanto riguarda</w:t>
      </w:r>
      <w:r w:rsidR="3EE315F7" w:rsidRPr="57807457">
        <w:rPr>
          <w:lang w:val="it-IT"/>
        </w:rPr>
        <w:t xml:space="preserve"> la</w:t>
      </w:r>
      <w:r w:rsidR="212292F4" w:rsidRPr="57807457">
        <w:rPr>
          <w:lang w:val="it-IT"/>
        </w:rPr>
        <w:t xml:space="preserve"> diagnosi per COVID-19 si osserva una riduzione del tasso di incidenza che passa da 1,13 per 10.000 giorni persona nei 14 giorni successivi alla prima dose a 0,34 per 10.000 giorni persona dopo la seconda dose. Si osserva una simile riduzione anche nei tassi di incidenza stratifica</w:t>
      </w:r>
      <w:r w:rsidR="6D02F4DC" w:rsidRPr="57807457">
        <w:rPr>
          <w:lang w:val="it-IT"/>
        </w:rPr>
        <w:t>ti</w:t>
      </w:r>
      <w:r w:rsidR="212292F4" w:rsidRPr="57807457">
        <w:rPr>
          <w:lang w:val="it-IT"/>
        </w:rPr>
        <w:t xml:space="preserve"> per età, genere, area geografica, periodo di calendario e categorie prioritarie di vaccinazione (</w:t>
      </w:r>
      <w:r w:rsidR="212292F4" w:rsidRPr="57807457">
        <w:rPr>
          <w:b/>
          <w:bCs/>
          <w:lang w:val="it-IT"/>
        </w:rPr>
        <w:t>Tabella 1</w:t>
      </w:r>
      <w:r w:rsidR="212292F4" w:rsidRPr="57807457">
        <w:rPr>
          <w:lang w:val="it-IT"/>
        </w:rPr>
        <w:t>).</w:t>
      </w:r>
      <w:r w:rsidR="0EF62312" w:rsidRPr="57807457">
        <w:rPr>
          <w:lang w:val="it-IT"/>
        </w:rPr>
        <w:t xml:space="preserve"> Un</w:t>
      </w:r>
      <w:r w:rsidR="5381E63B" w:rsidRPr="57807457">
        <w:rPr>
          <w:lang w:val="it-IT"/>
        </w:rPr>
        <w:t>a</w:t>
      </w:r>
      <w:r w:rsidR="0EF62312" w:rsidRPr="57807457">
        <w:rPr>
          <w:lang w:val="it-IT"/>
        </w:rPr>
        <w:t xml:space="preserve"> simile </w:t>
      </w:r>
      <w:r w:rsidR="44C0DCFF" w:rsidRPr="57807457">
        <w:rPr>
          <w:lang w:val="it-IT"/>
        </w:rPr>
        <w:t>riduzione</w:t>
      </w:r>
      <w:r w:rsidR="0EF62312" w:rsidRPr="57807457">
        <w:rPr>
          <w:lang w:val="it-IT"/>
        </w:rPr>
        <w:t xml:space="preserve"> si ottiene anche dalle analisi delle incidenze di </w:t>
      </w:r>
      <w:r w:rsidR="76ECD99D" w:rsidRPr="57807457">
        <w:rPr>
          <w:lang w:val="it-IT"/>
        </w:rPr>
        <w:t xml:space="preserve">ricovero </w:t>
      </w:r>
      <w:r w:rsidR="0EF62312" w:rsidRPr="57807457">
        <w:rPr>
          <w:lang w:val="it-IT"/>
        </w:rPr>
        <w:t>successiva a diagnosi di COVID-19 (</w:t>
      </w:r>
      <w:r w:rsidR="7F8EE2EE" w:rsidRPr="57807457">
        <w:rPr>
          <w:lang w:val="it-IT"/>
        </w:rPr>
        <w:t>ri</w:t>
      </w:r>
      <w:r w:rsidR="4A3D0A83" w:rsidRPr="57807457">
        <w:rPr>
          <w:lang w:val="it-IT"/>
        </w:rPr>
        <w:t>s</w:t>
      </w:r>
      <w:r w:rsidR="7F8EE2EE" w:rsidRPr="57807457">
        <w:rPr>
          <w:lang w:val="it-IT"/>
        </w:rPr>
        <w:t>pettivamente</w:t>
      </w:r>
      <w:r w:rsidR="7F88FDCB" w:rsidRPr="57807457">
        <w:rPr>
          <w:lang w:val="it-IT"/>
        </w:rPr>
        <w:t xml:space="preserve"> </w:t>
      </w:r>
      <w:r w:rsidR="0EF62312" w:rsidRPr="57807457">
        <w:rPr>
          <w:lang w:val="it-IT"/>
        </w:rPr>
        <w:t>0,17 e 0,02 per 10.000 giorni</w:t>
      </w:r>
      <w:r w:rsidR="002A1FBD">
        <w:rPr>
          <w:lang w:val="it-IT"/>
        </w:rPr>
        <w:t xml:space="preserve"> </w:t>
      </w:r>
      <w:r w:rsidR="0EF62312" w:rsidRPr="57807457">
        <w:rPr>
          <w:lang w:val="it-IT"/>
        </w:rPr>
        <w:t xml:space="preserve">persona nei primi 14 giorni dopo la prima dose e dopo la seconda dose, </w:t>
      </w:r>
      <w:r w:rsidR="0EF62312" w:rsidRPr="57807457">
        <w:rPr>
          <w:b/>
          <w:bCs/>
          <w:lang w:val="it-IT"/>
        </w:rPr>
        <w:t>Tabella 2</w:t>
      </w:r>
      <w:r w:rsidR="0EF62312" w:rsidRPr="57807457">
        <w:rPr>
          <w:lang w:val="it-IT"/>
        </w:rPr>
        <w:t xml:space="preserve">), </w:t>
      </w:r>
      <w:r w:rsidR="002A1FBD">
        <w:rPr>
          <w:lang w:val="it-IT"/>
        </w:rPr>
        <w:t>ricovero</w:t>
      </w:r>
      <w:r w:rsidR="002A1FBD" w:rsidRPr="57807457">
        <w:rPr>
          <w:lang w:val="it-IT"/>
        </w:rPr>
        <w:t xml:space="preserve"> </w:t>
      </w:r>
      <w:r w:rsidR="0EF62312" w:rsidRPr="57807457">
        <w:rPr>
          <w:lang w:val="it-IT"/>
        </w:rPr>
        <w:t>in TI (</w:t>
      </w:r>
      <w:r w:rsidR="002A1FBD">
        <w:rPr>
          <w:lang w:val="it-IT"/>
        </w:rPr>
        <w:t xml:space="preserve">da </w:t>
      </w:r>
      <w:r w:rsidR="0EF62312" w:rsidRPr="57807457">
        <w:rPr>
          <w:lang w:val="it-IT"/>
        </w:rPr>
        <w:t xml:space="preserve">0,02 </w:t>
      </w:r>
      <w:r w:rsidR="002A1FBD">
        <w:rPr>
          <w:lang w:val="it-IT"/>
        </w:rPr>
        <w:t>a</w:t>
      </w:r>
      <w:r w:rsidR="0EF62312" w:rsidRPr="57807457">
        <w:rPr>
          <w:lang w:val="it-IT"/>
        </w:rPr>
        <w:t xml:space="preserve"> 0,001, </w:t>
      </w:r>
      <w:r w:rsidR="0EF62312" w:rsidRPr="57807457">
        <w:rPr>
          <w:b/>
          <w:bCs/>
          <w:lang w:val="it-IT"/>
        </w:rPr>
        <w:t>Tabella 3</w:t>
      </w:r>
      <w:r w:rsidR="0EF62312" w:rsidRPr="57807457">
        <w:rPr>
          <w:lang w:val="it-IT"/>
        </w:rPr>
        <w:t>) o decesso entro 28 giorni dalla diagnosi di COVID 19 (</w:t>
      </w:r>
      <w:r w:rsidR="002A1FBD">
        <w:rPr>
          <w:lang w:val="it-IT"/>
        </w:rPr>
        <w:t xml:space="preserve">da </w:t>
      </w:r>
      <w:r w:rsidR="0EF62312" w:rsidRPr="57807457">
        <w:rPr>
          <w:lang w:val="it-IT"/>
        </w:rPr>
        <w:t xml:space="preserve">0,05 a 0,01, </w:t>
      </w:r>
      <w:r w:rsidR="0EF62312" w:rsidRPr="57807457">
        <w:rPr>
          <w:b/>
          <w:bCs/>
          <w:lang w:val="it-IT"/>
        </w:rPr>
        <w:t>Tabella 4</w:t>
      </w:r>
      <w:r w:rsidR="0EF62312" w:rsidRPr="57807457">
        <w:rPr>
          <w:lang w:val="it-IT"/>
        </w:rPr>
        <w:t>) anche stratificando per i fattori considerati nell’analisi.</w:t>
      </w:r>
    </w:p>
    <w:p w14:paraId="0EF171E7" w14:textId="5706DAD4" w:rsidR="006F751D" w:rsidRPr="00EB48D5" w:rsidRDefault="006F751D" w:rsidP="45BE2E14">
      <w:pPr>
        <w:jc w:val="both"/>
        <w:rPr>
          <w:color w:val="000000" w:themeColor="text1"/>
          <w:lang w:val="it-IT" w:eastAsia="da-DK"/>
        </w:rPr>
      </w:pPr>
    </w:p>
    <w:p w14:paraId="53F55286" w14:textId="77777777" w:rsidR="003C7263" w:rsidRPr="00EB48D5" w:rsidRDefault="003C7263" w:rsidP="6167A701">
      <w:pPr>
        <w:pStyle w:val="NormaleWeb"/>
        <w:jc w:val="both"/>
        <w:rPr>
          <w:rFonts w:asciiTheme="minorHAnsi" w:hAnsiTheme="minorHAnsi" w:cstheme="minorBidi"/>
          <w:b/>
          <w:bCs/>
          <w:color w:val="000000" w:themeColor="text1"/>
          <w:sz w:val="22"/>
          <w:szCs w:val="22"/>
          <w:lang w:eastAsia="da-DK"/>
        </w:rPr>
        <w:sectPr w:rsidR="003C7263" w:rsidRPr="00EB48D5" w:rsidSect="00691EB9">
          <w:headerReference w:type="even" r:id="rId17"/>
          <w:headerReference w:type="default" r:id="rId18"/>
          <w:footerReference w:type="even" r:id="rId19"/>
          <w:footerReference w:type="default" r:id="rId20"/>
          <w:headerReference w:type="first" r:id="rId21"/>
          <w:footerReference w:type="first" r:id="rId22"/>
          <w:pgSz w:w="11906" w:h="16838"/>
          <w:pgMar w:top="1418" w:right="1134" w:bottom="1134" w:left="1134" w:header="709" w:footer="709" w:gutter="0"/>
          <w:cols w:space="708"/>
          <w:titlePg/>
          <w:docGrid w:linePitch="360"/>
        </w:sectPr>
      </w:pPr>
    </w:p>
    <w:p w14:paraId="16B8BF4E" w14:textId="1C58D507" w:rsidR="00320910" w:rsidRPr="00E84F7D" w:rsidRDefault="00320910" w:rsidP="00320910">
      <w:pPr>
        <w:pStyle w:val="NormaleWeb"/>
        <w:spacing w:after="60"/>
        <w:jc w:val="both"/>
        <w:rPr>
          <w:rFonts w:asciiTheme="minorHAnsi" w:hAnsiTheme="minorHAnsi" w:cstheme="minorHAnsi"/>
          <w:color w:val="000000" w:themeColor="text1"/>
          <w:sz w:val="22"/>
          <w:szCs w:val="22"/>
          <w:lang w:eastAsia="da-DK"/>
        </w:rPr>
      </w:pPr>
      <w:r w:rsidRPr="00E84F7D">
        <w:rPr>
          <w:rFonts w:asciiTheme="minorHAnsi" w:hAnsiTheme="minorHAnsi" w:cstheme="minorHAnsi"/>
          <w:b/>
          <w:color w:val="000000" w:themeColor="text1"/>
          <w:sz w:val="22"/>
          <w:szCs w:val="22"/>
          <w:lang w:eastAsia="da-DK"/>
        </w:rPr>
        <w:lastRenderedPageBreak/>
        <w:t xml:space="preserve">Tabella </w:t>
      </w:r>
      <w:r>
        <w:rPr>
          <w:rFonts w:asciiTheme="minorHAnsi" w:hAnsiTheme="minorHAnsi" w:cstheme="minorHAnsi"/>
          <w:b/>
          <w:color w:val="000000" w:themeColor="text1"/>
          <w:sz w:val="22"/>
          <w:szCs w:val="22"/>
          <w:lang w:eastAsia="da-DK"/>
        </w:rPr>
        <w:t>1</w:t>
      </w:r>
      <w:r w:rsidRPr="00E84F7D">
        <w:rPr>
          <w:rFonts w:asciiTheme="minorHAnsi" w:hAnsiTheme="minorHAnsi" w:cstheme="minorHAnsi"/>
          <w:color w:val="000000" w:themeColor="text1"/>
          <w:sz w:val="22"/>
          <w:szCs w:val="22"/>
          <w:lang w:eastAsia="da-DK"/>
        </w:rPr>
        <w:t xml:space="preserve">. Incidenza di diagnosi di COVID-19 in persone vaccinate con i vaccini Cominarty o Spikevax prima del 15 agosto 2021 </w:t>
      </w:r>
    </w:p>
    <w:tbl>
      <w:tblP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20"/>
        <w:gridCol w:w="1614"/>
        <w:gridCol w:w="1962"/>
        <w:gridCol w:w="1370"/>
        <w:gridCol w:w="1292"/>
        <w:gridCol w:w="1742"/>
        <w:gridCol w:w="1392"/>
      </w:tblGrid>
      <w:tr w:rsidR="00320910" w:rsidRPr="00A227B4" w14:paraId="350AEDDE" w14:textId="77777777" w:rsidTr="008E6149">
        <w:trPr>
          <w:trHeight w:val="242"/>
        </w:trPr>
        <w:tc>
          <w:tcPr>
            <w:tcW w:w="1627" w:type="pct"/>
            <w:tcBorders>
              <w:bottom w:val="nil"/>
            </w:tcBorders>
            <w:shd w:val="clear" w:color="auto" w:fill="D9D9D9" w:themeFill="background1" w:themeFillShade="D9"/>
            <w:noWrap/>
            <w:vAlign w:val="center"/>
          </w:tcPr>
          <w:p w14:paraId="488FC6E3" w14:textId="77777777" w:rsidR="00320910" w:rsidRPr="00E84F7D" w:rsidRDefault="00320910" w:rsidP="008E6149">
            <w:pPr>
              <w:spacing w:after="0" w:line="240" w:lineRule="auto"/>
              <w:rPr>
                <w:rFonts w:eastAsia="Times New Roman" w:cstheme="minorHAnsi"/>
                <w:b/>
                <w:bCs/>
                <w:color w:val="000000" w:themeColor="text1"/>
                <w:sz w:val="18"/>
                <w:szCs w:val="18"/>
                <w:lang w:val="it-IT" w:eastAsia="it-IT"/>
              </w:rPr>
            </w:pPr>
            <w:r w:rsidRPr="00E84F7D">
              <w:rPr>
                <w:rFonts w:cstheme="minorHAnsi"/>
                <w:color w:val="000000" w:themeColor="text1"/>
                <w:lang w:val="it-IT" w:eastAsia="da-DK"/>
              </w:rPr>
              <w:t xml:space="preserve"> </w:t>
            </w:r>
          </w:p>
        </w:tc>
        <w:tc>
          <w:tcPr>
            <w:tcW w:w="1780" w:type="pct"/>
            <w:gridSpan w:val="3"/>
            <w:tcBorders>
              <w:bottom w:val="single" w:sz="4" w:space="0" w:color="auto"/>
            </w:tcBorders>
            <w:shd w:val="clear" w:color="auto" w:fill="D9D9D9" w:themeFill="background1" w:themeFillShade="D9"/>
            <w:vAlign w:val="center"/>
          </w:tcPr>
          <w:p w14:paraId="4ECDCB1B"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0-14 giorni dalla somministrazione della 1° dose (riferimento)</w:t>
            </w:r>
          </w:p>
        </w:tc>
        <w:tc>
          <w:tcPr>
            <w:tcW w:w="1593" w:type="pct"/>
            <w:gridSpan w:val="3"/>
            <w:tcBorders>
              <w:bottom w:val="single" w:sz="4" w:space="0" w:color="auto"/>
            </w:tcBorders>
            <w:shd w:val="clear" w:color="auto" w:fill="D9D9D9" w:themeFill="background1" w:themeFillShade="D9"/>
          </w:tcPr>
          <w:p w14:paraId="47F5A014"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0+ giorni dalla somministrazione della 2° dose</w:t>
            </w:r>
          </w:p>
        </w:tc>
      </w:tr>
      <w:tr w:rsidR="00320910" w:rsidRPr="00E84F7D" w14:paraId="1099B4EB" w14:textId="77777777" w:rsidTr="008E6149">
        <w:trPr>
          <w:trHeight w:val="242"/>
        </w:trPr>
        <w:tc>
          <w:tcPr>
            <w:tcW w:w="1627" w:type="pct"/>
            <w:tcBorders>
              <w:top w:val="nil"/>
              <w:bottom w:val="single" w:sz="4" w:space="0" w:color="auto"/>
            </w:tcBorders>
            <w:shd w:val="clear" w:color="auto" w:fill="D9D9D9" w:themeFill="background1" w:themeFillShade="D9"/>
            <w:noWrap/>
            <w:vAlign w:val="center"/>
          </w:tcPr>
          <w:p w14:paraId="7F5425E0" w14:textId="77777777" w:rsidR="00320910" w:rsidRPr="00E84F7D" w:rsidRDefault="00320910" w:rsidP="008E6149">
            <w:pPr>
              <w:spacing w:after="0" w:line="240" w:lineRule="auto"/>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Caratteristiche della popolazione in studio</w:t>
            </w:r>
          </w:p>
        </w:tc>
        <w:tc>
          <w:tcPr>
            <w:tcW w:w="581" w:type="pct"/>
            <w:tcBorders>
              <w:bottom w:val="single" w:sz="4" w:space="0" w:color="auto"/>
            </w:tcBorders>
            <w:shd w:val="clear" w:color="auto" w:fill="D9D9D9" w:themeFill="background1" w:themeFillShade="D9"/>
            <w:vAlign w:val="center"/>
          </w:tcPr>
          <w:p w14:paraId="5A3E0679" w14:textId="77777777" w:rsidR="00320910" w:rsidRPr="00E84F7D" w:rsidRDefault="00320910" w:rsidP="008E6149">
            <w:pPr>
              <w:spacing w:after="0" w:line="240" w:lineRule="auto"/>
              <w:jc w:val="right"/>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Diagnosi</w:t>
            </w:r>
          </w:p>
        </w:tc>
        <w:tc>
          <w:tcPr>
            <w:tcW w:w="706" w:type="pct"/>
            <w:tcBorders>
              <w:bottom w:val="single" w:sz="4" w:space="0" w:color="auto"/>
            </w:tcBorders>
            <w:shd w:val="clear" w:color="auto" w:fill="D9D9D9" w:themeFill="background1" w:themeFillShade="D9"/>
            <w:vAlign w:val="center"/>
          </w:tcPr>
          <w:p w14:paraId="188B32CA" w14:textId="1064D0FE" w:rsidR="00320910" w:rsidRPr="00E84F7D" w:rsidRDefault="00320910" w:rsidP="008E6149">
            <w:pPr>
              <w:spacing w:after="0" w:line="240" w:lineRule="auto"/>
              <w:jc w:val="right"/>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Giorni</w:t>
            </w:r>
            <w:r w:rsidR="002A1FBD">
              <w:rPr>
                <w:rFonts w:eastAsia="Times New Roman" w:cstheme="minorHAnsi"/>
                <w:b/>
                <w:bCs/>
                <w:color w:val="000000" w:themeColor="text1"/>
                <w:sz w:val="18"/>
                <w:szCs w:val="18"/>
                <w:lang w:val="it-IT" w:eastAsia="it-IT"/>
              </w:rPr>
              <w:t xml:space="preserve"> </w:t>
            </w:r>
            <w:r w:rsidRPr="00E84F7D">
              <w:rPr>
                <w:rFonts w:eastAsia="Times New Roman" w:cstheme="minorHAnsi"/>
                <w:b/>
                <w:bCs/>
                <w:color w:val="000000" w:themeColor="text1"/>
                <w:sz w:val="18"/>
                <w:szCs w:val="18"/>
                <w:lang w:val="it-IT" w:eastAsia="it-IT"/>
              </w:rPr>
              <w:t>persona</w:t>
            </w:r>
          </w:p>
        </w:tc>
        <w:tc>
          <w:tcPr>
            <w:tcW w:w="493" w:type="pct"/>
            <w:tcBorders>
              <w:bottom w:val="single" w:sz="4" w:space="0" w:color="auto"/>
            </w:tcBorders>
            <w:shd w:val="clear" w:color="auto" w:fill="D9D9D9" w:themeFill="background1" w:themeFillShade="D9"/>
          </w:tcPr>
          <w:p w14:paraId="2F283943" w14:textId="77777777" w:rsidR="00320910" w:rsidRPr="00E84F7D" w:rsidRDefault="00320910" w:rsidP="008E6149">
            <w:pPr>
              <w:spacing w:after="0" w:line="240" w:lineRule="auto"/>
              <w:jc w:val="right"/>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Incidenza</w:t>
            </w:r>
          </w:p>
          <w:p w14:paraId="35299CED" w14:textId="77777777" w:rsidR="00320910" w:rsidRPr="00E84F7D" w:rsidRDefault="00320910" w:rsidP="008E6149">
            <w:pPr>
              <w:spacing w:after="0" w:line="240" w:lineRule="auto"/>
              <w:jc w:val="right"/>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per 10.000 giorni persona*</w:t>
            </w:r>
          </w:p>
        </w:tc>
        <w:tc>
          <w:tcPr>
            <w:tcW w:w="465" w:type="pct"/>
            <w:tcBorders>
              <w:bottom w:val="single" w:sz="4" w:space="0" w:color="auto"/>
            </w:tcBorders>
            <w:shd w:val="clear" w:color="auto" w:fill="D9D9D9" w:themeFill="background1" w:themeFillShade="D9"/>
            <w:vAlign w:val="center"/>
          </w:tcPr>
          <w:p w14:paraId="187604EB" w14:textId="77777777" w:rsidR="00320910" w:rsidRPr="00E84F7D" w:rsidRDefault="00320910" w:rsidP="008E6149">
            <w:pPr>
              <w:spacing w:after="0" w:line="240" w:lineRule="auto"/>
              <w:jc w:val="right"/>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Diagnosi</w:t>
            </w:r>
          </w:p>
        </w:tc>
        <w:tc>
          <w:tcPr>
            <w:tcW w:w="627" w:type="pct"/>
            <w:tcBorders>
              <w:bottom w:val="single" w:sz="4" w:space="0" w:color="auto"/>
            </w:tcBorders>
            <w:shd w:val="clear" w:color="auto" w:fill="D9D9D9" w:themeFill="background1" w:themeFillShade="D9"/>
            <w:vAlign w:val="center"/>
          </w:tcPr>
          <w:p w14:paraId="02A77687" w14:textId="06B25806" w:rsidR="00320910" w:rsidRPr="00E84F7D" w:rsidRDefault="00320910" w:rsidP="008E6149">
            <w:pPr>
              <w:spacing w:after="0" w:line="240" w:lineRule="auto"/>
              <w:jc w:val="right"/>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Giorni</w:t>
            </w:r>
            <w:r w:rsidR="002A1FBD">
              <w:rPr>
                <w:rFonts w:eastAsia="Times New Roman" w:cstheme="minorHAnsi"/>
                <w:b/>
                <w:bCs/>
                <w:color w:val="000000" w:themeColor="text1"/>
                <w:sz w:val="18"/>
                <w:szCs w:val="18"/>
                <w:lang w:val="it-IT" w:eastAsia="it-IT"/>
              </w:rPr>
              <w:t xml:space="preserve"> </w:t>
            </w:r>
            <w:r w:rsidRPr="00E84F7D">
              <w:rPr>
                <w:rFonts w:eastAsia="Times New Roman" w:cstheme="minorHAnsi"/>
                <w:b/>
                <w:bCs/>
                <w:color w:val="000000" w:themeColor="text1"/>
                <w:sz w:val="18"/>
                <w:szCs w:val="18"/>
                <w:lang w:val="it-IT" w:eastAsia="it-IT"/>
              </w:rPr>
              <w:t>persona</w:t>
            </w:r>
          </w:p>
        </w:tc>
        <w:tc>
          <w:tcPr>
            <w:tcW w:w="501" w:type="pct"/>
            <w:tcBorders>
              <w:bottom w:val="single" w:sz="4" w:space="0" w:color="auto"/>
            </w:tcBorders>
            <w:shd w:val="clear" w:color="auto" w:fill="D9D9D9" w:themeFill="background1" w:themeFillShade="D9"/>
          </w:tcPr>
          <w:p w14:paraId="6D7AD3A2" w14:textId="77777777" w:rsidR="00320910" w:rsidRPr="00E84F7D" w:rsidRDefault="00320910" w:rsidP="008E6149">
            <w:pPr>
              <w:spacing w:after="0" w:line="240" w:lineRule="auto"/>
              <w:jc w:val="right"/>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Incidenza</w:t>
            </w:r>
          </w:p>
          <w:p w14:paraId="1C15EFB5" w14:textId="77777777" w:rsidR="00320910" w:rsidRPr="00E84F7D" w:rsidRDefault="00320910" w:rsidP="008E6149">
            <w:pPr>
              <w:spacing w:after="0" w:line="240" w:lineRule="auto"/>
              <w:jc w:val="right"/>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per 10.000 giorni persona*</w:t>
            </w:r>
          </w:p>
        </w:tc>
      </w:tr>
      <w:tr w:rsidR="00320910" w:rsidRPr="00E84F7D" w14:paraId="364CFCCE" w14:textId="77777777" w:rsidTr="008E6149">
        <w:trPr>
          <w:trHeight w:val="242"/>
        </w:trPr>
        <w:tc>
          <w:tcPr>
            <w:tcW w:w="1627" w:type="pct"/>
            <w:tcBorders>
              <w:bottom w:val="single" w:sz="4" w:space="0" w:color="auto"/>
            </w:tcBorders>
            <w:shd w:val="clear" w:color="auto" w:fill="auto"/>
            <w:noWrap/>
            <w:vAlign w:val="center"/>
          </w:tcPr>
          <w:p w14:paraId="73BE5DC1" w14:textId="77777777" w:rsidR="00320910" w:rsidRPr="00E84F7D" w:rsidRDefault="00320910" w:rsidP="008E6149">
            <w:pPr>
              <w:spacing w:after="0" w:line="240" w:lineRule="auto"/>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Totale</w:t>
            </w:r>
          </w:p>
        </w:tc>
        <w:tc>
          <w:tcPr>
            <w:tcW w:w="581" w:type="pct"/>
            <w:tcBorders>
              <w:bottom w:val="single" w:sz="4" w:space="0" w:color="auto"/>
            </w:tcBorders>
            <w:shd w:val="clear" w:color="auto" w:fill="auto"/>
            <w:vAlign w:val="center"/>
          </w:tcPr>
          <w:p w14:paraId="691FB2C4" w14:textId="4EB3C228"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46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427</w:t>
            </w:r>
          </w:p>
        </w:tc>
        <w:tc>
          <w:tcPr>
            <w:tcW w:w="706" w:type="pct"/>
            <w:tcBorders>
              <w:bottom w:val="single" w:sz="4" w:space="0" w:color="auto"/>
            </w:tcBorders>
            <w:shd w:val="clear" w:color="auto" w:fill="auto"/>
            <w:vAlign w:val="center"/>
          </w:tcPr>
          <w:p w14:paraId="0019FA93" w14:textId="7AC0145B"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410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704</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354</w:t>
            </w:r>
          </w:p>
        </w:tc>
        <w:tc>
          <w:tcPr>
            <w:tcW w:w="493" w:type="pct"/>
            <w:tcBorders>
              <w:bottom w:val="single" w:sz="4" w:space="0" w:color="auto"/>
            </w:tcBorders>
            <w:shd w:val="clear" w:color="auto" w:fill="auto"/>
            <w:vAlign w:val="center"/>
          </w:tcPr>
          <w:p w14:paraId="7FAE860E" w14:textId="6EDFFF7D"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13</w:t>
            </w:r>
          </w:p>
        </w:tc>
        <w:tc>
          <w:tcPr>
            <w:tcW w:w="465" w:type="pct"/>
            <w:tcBorders>
              <w:bottom w:val="single" w:sz="4" w:space="0" w:color="auto"/>
            </w:tcBorders>
            <w:vAlign w:val="center"/>
          </w:tcPr>
          <w:p w14:paraId="6559D12E" w14:textId="05CE9B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69</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608</w:t>
            </w:r>
          </w:p>
        </w:tc>
        <w:tc>
          <w:tcPr>
            <w:tcW w:w="627" w:type="pct"/>
            <w:tcBorders>
              <w:bottom w:val="single" w:sz="4" w:space="0" w:color="auto"/>
            </w:tcBorders>
            <w:vAlign w:val="center"/>
          </w:tcPr>
          <w:p w14:paraId="41BAB032" w14:textId="5B1D7C16"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064</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771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490</w:t>
            </w:r>
          </w:p>
        </w:tc>
        <w:tc>
          <w:tcPr>
            <w:tcW w:w="501" w:type="pct"/>
            <w:tcBorders>
              <w:bottom w:val="single" w:sz="4" w:space="0" w:color="auto"/>
            </w:tcBorders>
            <w:vAlign w:val="center"/>
          </w:tcPr>
          <w:p w14:paraId="320649E1" w14:textId="42A05F65"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34</w:t>
            </w:r>
          </w:p>
        </w:tc>
      </w:tr>
      <w:tr w:rsidR="00320910" w:rsidRPr="00E84F7D" w14:paraId="28320D0D" w14:textId="77777777" w:rsidTr="008E6149">
        <w:trPr>
          <w:trHeight w:val="242"/>
        </w:trPr>
        <w:tc>
          <w:tcPr>
            <w:tcW w:w="1627" w:type="pct"/>
            <w:shd w:val="clear" w:color="auto" w:fill="auto"/>
            <w:noWrap/>
            <w:vAlign w:val="center"/>
          </w:tcPr>
          <w:p w14:paraId="428B29ED" w14:textId="77777777" w:rsidR="00320910" w:rsidRPr="00E84F7D" w:rsidRDefault="00320910" w:rsidP="008E6149">
            <w:pPr>
              <w:spacing w:after="0" w:line="240" w:lineRule="auto"/>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Classe di età (anni)</w:t>
            </w:r>
          </w:p>
        </w:tc>
        <w:tc>
          <w:tcPr>
            <w:tcW w:w="581" w:type="pct"/>
            <w:shd w:val="clear" w:color="auto" w:fill="auto"/>
            <w:vAlign w:val="center"/>
          </w:tcPr>
          <w:p w14:paraId="6FD440B0"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b/>
                <w:bCs/>
                <w:color w:val="000000"/>
                <w:sz w:val="18"/>
                <w:szCs w:val="18"/>
                <w:lang w:val="it-IT"/>
              </w:rPr>
              <w:t> </w:t>
            </w:r>
          </w:p>
        </w:tc>
        <w:tc>
          <w:tcPr>
            <w:tcW w:w="706" w:type="pct"/>
            <w:shd w:val="clear" w:color="auto" w:fill="auto"/>
            <w:vAlign w:val="center"/>
          </w:tcPr>
          <w:p w14:paraId="3CC286BD"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b/>
                <w:bCs/>
                <w:color w:val="000000"/>
                <w:sz w:val="18"/>
                <w:szCs w:val="18"/>
                <w:lang w:val="it-IT"/>
              </w:rPr>
              <w:t> </w:t>
            </w:r>
          </w:p>
        </w:tc>
        <w:tc>
          <w:tcPr>
            <w:tcW w:w="493" w:type="pct"/>
            <w:shd w:val="clear" w:color="auto" w:fill="auto"/>
            <w:vAlign w:val="center"/>
          </w:tcPr>
          <w:p w14:paraId="0DB7E298" w14:textId="77777777" w:rsidR="00320910" w:rsidRPr="00E84F7D" w:rsidRDefault="00320910" w:rsidP="008E6149">
            <w:pPr>
              <w:spacing w:after="0" w:line="240" w:lineRule="auto"/>
              <w:ind w:right="637"/>
              <w:jc w:val="center"/>
              <w:rPr>
                <w:rFonts w:eastAsia="Times New Roman" w:cstheme="minorHAnsi"/>
                <w:b/>
                <w:bCs/>
                <w:color w:val="000000" w:themeColor="text1"/>
                <w:sz w:val="18"/>
                <w:szCs w:val="18"/>
                <w:lang w:val="it-IT" w:eastAsia="it-IT"/>
              </w:rPr>
            </w:pPr>
            <w:r w:rsidRPr="00E84F7D">
              <w:rPr>
                <w:rFonts w:ascii="Calibri" w:hAnsi="Calibri" w:cs="Calibri"/>
                <w:b/>
                <w:bCs/>
                <w:color w:val="000000"/>
                <w:sz w:val="18"/>
                <w:szCs w:val="18"/>
                <w:lang w:val="it-IT"/>
              </w:rPr>
              <w:t> </w:t>
            </w:r>
          </w:p>
        </w:tc>
        <w:tc>
          <w:tcPr>
            <w:tcW w:w="465" w:type="pct"/>
            <w:vAlign w:val="center"/>
          </w:tcPr>
          <w:p w14:paraId="627CA434" w14:textId="77777777" w:rsidR="00320910" w:rsidRPr="00E84F7D" w:rsidRDefault="00320910" w:rsidP="008E6149">
            <w:pPr>
              <w:spacing w:after="0" w:line="240" w:lineRule="auto"/>
              <w:ind w:right="606"/>
              <w:jc w:val="center"/>
              <w:rPr>
                <w:rFonts w:eastAsia="Times New Roman" w:cstheme="minorHAnsi"/>
                <w:b/>
                <w:bCs/>
                <w:color w:val="000000" w:themeColor="text1"/>
                <w:sz w:val="18"/>
                <w:szCs w:val="18"/>
                <w:lang w:val="it-IT" w:eastAsia="it-IT"/>
              </w:rPr>
            </w:pPr>
            <w:r w:rsidRPr="00E84F7D">
              <w:rPr>
                <w:rFonts w:ascii="Calibri" w:hAnsi="Calibri" w:cs="Calibri"/>
                <w:b/>
                <w:bCs/>
                <w:color w:val="000000"/>
                <w:sz w:val="18"/>
                <w:szCs w:val="18"/>
                <w:lang w:val="it-IT"/>
              </w:rPr>
              <w:t> </w:t>
            </w:r>
          </w:p>
        </w:tc>
        <w:tc>
          <w:tcPr>
            <w:tcW w:w="627" w:type="pct"/>
            <w:vAlign w:val="center"/>
          </w:tcPr>
          <w:p w14:paraId="62B44790" w14:textId="77777777" w:rsidR="00320910" w:rsidRPr="00E84F7D" w:rsidRDefault="00320910" w:rsidP="008E6149">
            <w:pPr>
              <w:spacing w:after="0" w:line="240" w:lineRule="auto"/>
              <w:ind w:right="606"/>
              <w:jc w:val="center"/>
              <w:rPr>
                <w:rFonts w:eastAsia="Times New Roman" w:cstheme="minorHAnsi"/>
                <w:b/>
                <w:bCs/>
                <w:color w:val="000000" w:themeColor="text1"/>
                <w:sz w:val="18"/>
                <w:szCs w:val="18"/>
                <w:lang w:val="it-IT" w:eastAsia="it-IT"/>
              </w:rPr>
            </w:pPr>
            <w:r w:rsidRPr="00E84F7D">
              <w:rPr>
                <w:rFonts w:ascii="Calibri" w:hAnsi="Calibri" w:cs="Calibri"/>
                <w:b/>
                <w:bCs/>
                <w:color w:val="000000"/>
                <w:sz w:val="18"/>
                <w:szCs w:val="18"/>
                <w:lang w:val="it-IT"/>
              </w:rPr>
              <w:t> </w:t>
            </w:r>
          </w:p>
        </w:tc>
        <w:tc>
          <w:tcPr>
            <w:tcW w:w="501" w:type="pct"/>
            <w:vAlign w:val="center"/>
          </w:tcPr>
          <w:p w14:paraId="392A5600" w14:textId="77777777" w:rsidR="00320910" w:rsidRPr="00E84F7D" w:rsidRDefault="00320910" w:rsidP="008E6149">
            <w:pPr>
              <w:spacing w:after="0" w:line="240" w:lineRule="auto"/>
              <w:ind w:right="606"/>
              <w:jc w:val="center"/>
              <w:rPr>
                <w:rFonts w:eastAsia="Times New Roman" w:cstheme="minorHAnsi"/>
                <w:b/>
                <w:bCs/>
                <w:color w:val="000000" w:themeColor="text1"/>
                <w:sz w:val="18"/>
                <w:szCs w:val="18"/>
                <w:lang w:val="it-IT" w:eastAsia="it-IT"/>
              </w:rPr>
            </w:pPr>
            <w:r w:rsidRPr="00E84F7D">
              <w:rPr>
                <w:rFonts w:ascii="Calibri" w:hAnsi="Calibri" w:cs="Calibri"/>
                <w:color w:val="000000"/>
                <w:sz w:val="18"/>
                <w:szCs w:val="18"/>
                <w:lang w:val="it-IT"/>
              </w:rPr>
              <w:t> </w:t>
            </w:r>
          </w:p>
        </w:tc>
      </w:tr>
      <w:tr w:rsidR="00320910" w:rsidRPr="00E84F7D" w14:paraId="74B69B67" w14:textId="77777777" w:rsidTr="008E6149">
        <w:trPr>
          <w:trHeight w:val="242"/>
        </w:trPr>
        <w:tc>
          <w:tcPr>
            <w:tcW w:w="1627" w:type="pct"/>
            <w:shd w:val="clear" w:color="auto" w:fill="auto"/>
            <w:noWrap/>
            <w:vAlign w:val="center"/>
          </w:tcPr>
          <w:p w14:paraId="232B7767" w14:textId="77777777" w:rsidR="00320910" w:rsidRPr="00E84F7D" w:rsidRDefault="00320910" w:rsidP="008E6149">
            <w:pPr>
              <w:spacing w:after="0" w:line="240" w:lineRule="auto"/>
              <w:ind w:left="209"/>
              <w:rPr>
                <w:rFonts w:eastAsia="Times New Roman" w:cstheme="minorHAnsi"/>
                <w:b/>
                <w:bCs/>
                <w:color w:val="000000" w:themeColor="text1"/>
                <w:sz w:val="18"/>
                <w:szCs w:val="18"/>
                <w:lang w:val="it-IT" w:eastAsia="it-IT"/>
              </w:rPr>
            </w:pPr>
            <w:r w:rsidRPr="00E84F7D">
              <w:rPr>
                <w:rFonts w:eastAsia="Times New Roman" w:cstheme="minorHAnsi"/>
                <w:color w:val="000000" w:themeColor="text1"/>
                <w:sz w:val="18"/>
                <w:szCs w:val="18"/>
                <w:lang w:val="it-IT" w:eastAsia="it-IT"/>
              </w:rPr>
              <w:t xml:space="preserve">&lt;40 </w:t>
            </w:r>
          </w:p>
        </w:tc>
        <w:tc>
          <w:tcPr>
            <w:tcW w:w="581" w:type="pct"/>
            <w:shd w:val="clear" w:color="auto" w:fill="auto"/>
            <w:vAlign w:val="center"/>
          </w:tcPr>
          <w:p w14:paraId="55906F6D" w14:textId="04363F55"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14</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979</w:t>
            </w:r>
          </w:p>
        </w:tc>
        <w:tc>
          <w:tcPr>
            <w:tcW w:w="706" w:type="pct"/>
            <w:shd w:val="clear" w:color="auto" w:fill="auto"/>
            <w:vAlign w:val="center"/>
          </w:tcPr>
          <w:p w14:paraId="210F8D9A" w14:textId="6F0EC7C9"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116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564</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239</w:t>
            </w:r>
          </w:p>
        </w:tc>
        <w:tc>
          <w:tcPr>
            <w:tcW w:w="493" w:type="pct"/>
            <w:shd w:val="clear" w:color="auto" w:fill="auto"/>
            <w:vAlign w:val="center"/>
          </w:tcPr>
          <w:p w14:paraId="6CB82116" w14:textId="544118E5"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29</w:t>
            </w:r>
          </w:p>
        </w:tc>
        <w:tc>
          <w:tcPr>
            <w:tcW w:w="465" w:type="pct"/>
            <w:vAlign w:val="center"/>
          </w:tcPr>
          <w:p w14:paraId="6EDA4885" w14:textId="28C483D8"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569</w:t>
            </w:r>
          </w:p>
        </w:tc>
        <w:tc>
          <w:tcPr>
            <w:tcW w:w="627" w:type="pct"/>
            <w:vAlign w:val="center"/>
          </w:tcPr>
          <w:p w14:paraId="471CF626" w14:textId="6CAB0EB4"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332</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241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890</w:t>
            </w:r>
          </w:p>
        </w:tc>
        <w:tc>
          <w:tcPr>
            <w:tcW w:w="501" w:type="pct"/>
            <w:vAlign w:val="center"/>
          </w:tcPr>
          <w:p w14:paraId="3D1BF5EF" w14:textId="7C0BFD1B"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53</w:t>
            </w:r>
          </w:p>
        </w:tc>
      </w:tr>
      <w:tr w:rsidR="00320910" w:rsidRPr="00E84F7D" w14:paraId="7FC6DA74" w14:textId="77777777" w:rsidTr="008E6149">
        <w:trPr>
          <w:trHeight w:val="242"/>
        </w:trPr>
        <w:tc>
          <w:tcPr>
            <w:tcW w:w="1627" w:type="pct"/>
            <w:shd w:val="clear" w:color="auto" w:fill="auto"/>
            <w:noWrap/>
            <w:vAlign w:val="center"/>
          </w:tcPr>
          <w:p w14:paraId="1C74A67F" w14:textId="77777777" w:rsidR="00320910" w:rsidRPr="00E84F7D" w:rsidRDefault="00320910" w:rsidP="008E6149">
            <w:pPr>
              <w:spacing w:after="0" w:line="240" w:lineRule="auto"/>
              <w:ind w:left="209"/>
              <w:rPr>
                <w:rFonts w:eastAsia="Times New Roman" w:cstheme="minorHAnsi"/>
                <w:b/>
                <w:bCs/>
                <w:color w:val="000000" w:themeColor="text1"/>
                <w:sz w:val="18"/>
                <w:szCs w:val="18"/>
                <w:lang w:val="it-IT" w:eastAsia="it-IT"/>
              </w:rPr>
            </w:pPr>
            <w:r w:rsidRPr="00E84F7D">
              <w:rPr>
                <w:rFonts w:eastAsia="Times New Roman" w:cstheme="minorHAnsi"/>
                <w:color w:val="000000" w:themeColor="text1"/>
                <w:sz w:val="18"/>
                <w:szCs w:val="18"/>
                <w:lang w:val="it-IT" w:eastAsia="it-IT"/>
              </w:rPr>
              <w:t>40-59</w:t>
            </w:r>
          </w:p>
        </w:tc>
        <w:tc>
          <w:tcPr>
            <w:tcW w:w="581" w:type="pct"/>
            <w:shd w:val="clear" w:color="auto" w:fill="auto"/>
            <w:vAlign w:val="center"/>
          </w:tcPr>
          <w:p w14:paraId="42241527" w14:textId="726F1A9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884</w:t>
            </w:r>
          </w:p>
        </w:tc>
        <w:tc>
          <w:tcPr>
            <w:tcW w:w="706" w:type="pct"/>
            <w:shd w:val="clear" w:color="auto" w:fill="auto"/>
            <w:vAlign w:val="center"/>
          </w:tcPr>
          <w:p w14:paraId="7D4C49CA" w14:textId="2934F399"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149</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027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269</w:t>
            </w:r>
          </w:p>
        </w:tc>
        <w:tc>
          <w:tcPr>
            <w:tcW w:w="493" w:type="pct"/>
            <w:shd w:val="clear" w:color="auto" w:fill="auto"/>
            <w:vAlign w:val="center"/>
          </w:tcPr>
          <w:p w14:paraId="72B7B54D" w14:textId="4A79F78D"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80</w:t>
            </w:r>
          </w:p>
        </w:tc>
        <w:tc>
          <w:tcPr>
            <w:tcW w:w="465" w:type="pct"/>
            <w:vAlign w:val="center"/>
          </w:tcPr>
          <w:p w14:paraId="0CB352F9" w14:textId="728B6B42"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24</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600</w:t>
            </w:r>
          </w:p>
        </w:tc>
        <w:tc>
          <w:tcPr>
            <w:tcW w:w="627" w:type="pct"/>
            <w:vAlign w:val="center"/>
          </w:tcPr>
          <w:p w14:paraId="5682C1A5" w14:textId="7F9656D3"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648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180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359</w:t>
            </w:r>
          </w:p>
        </w:tc>
        <w:tc>
          <w:tcPr>
            <w:tcW w:w="501" w:type="pct"/>
            <w:vAlign w:val="center"/>
          </w:tcPr>
          <w:p w14:paraId="714BB0B4" w14:textId="20618F6D"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38</w:t>
            </w:r>
          </w:p>
        </w:tc>
      </w:tr>
      <w:tr w:rsidR="00320910" w:rsidRPr="00E84F7D" w14:paraId="2677F1CC" w14:textId="77777777" w:rsidTr="008E6149">
        <w:trPr>
          <w:trHeight w:val="242"/>
        </w:trPr>
        <w:tc>
          <w:tcPr>
            <w:tcW w:w="1627" w:type="pct"/>
            <w:shd w:val="clear" w:color="auto" w:fill="auto"/>
            <w:noWrap/>
            <w:vAlign w:val="center"/>
          </w:tcPr>
          <w:p w14:paraId="0AB79818" w14:textId="77777777" w:rsidR="00320910" w:rsidRPr="00E84F7D" w:rsidRDefault="00320910" w:rsidP="008E6149">
            <w:pPr>
              <w:spacing w:after="0" w:line="240" w:lineRule="auto"/>
              <w:ind w:left="209"/>
              <w:rPr>
                <w:rFonts w:eastAsia="Times New Roman" w:cstheme="minorHAnsi"/>
                <w:b/>
                <w:bCs/>
                <w:color w:val="000000" w:themeColor="text1"/>
                <w:sz w:val="18"/>
                <w:szCs w:val="18"/>
                <w:lang w:val="it-IT" w:eastAsia="it-IT"/>
              </w:rPr>
            </w:pPr>
            <w:r w:rsidRPr="00E84F7D">
              <w:rPr>
                <w:rFonts w:eastAsia="Times New Roman" w:cstheme="minorHAnsi"/>
                <w:color w:val="000000" w:themeColor="text1"/>
                <w:sz w:val="18"/>
                <w:szCs w:val="18"/>
                <w:lang w:val="it-IT" w:eastAsia="it-IT"/>
              </w:rPr>
              <w:t>60-79</w:t>
            </w:r>
          </w:p>
        </w:tc>
        <w:tc>
          <w:tcPr>
            <w:tcW w:w="581" w:type="pct"/>
            <w:shd w:val="clear" w:color="auto" w:fill="auto"/>
            <w:vAlign w:val="center"/>
          </w:tcPr>
          <w:p w14:paraId="40527F40" w14:textId="02F115D2"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242</w:t>
            </w:r>
          </w:p>
        </w:tc>
        <w:tc>
          <w:tcPr>
            <w:tcW w:w="706" w:type="pct"/>
            <w:shd w:val="clear" w:color="auto" w:fill="auto"/>
            <w:vAlign w:val="center"/>
          </w:tcPr>
          <w:p w14:paraId="37E88C5F" w14:textId="753BD0CB"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89</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962</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423</w:t>
            </w:r>
          </w:p>
        </w:tc>
        <w:tc>
          <w:tcPr>
            <w:tcW w:w="493" w:type="pct"/>
            <w:shd w:val="clear" w:color="auto" w:fill="auto"/>
            <w:vAlign w:val="center"/>
          </w:tcPr>
          <w:p w14:paraId="6F5DF558" w14:textId="20FC6A29"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92</w:t>
            </w:r>
          </w:p>
        </w:tc>
        <w:tc>
          <w:tcPr>
            <w:tcW w:w="465" w:type="pct"/>
            <w:vAlign w:val="center"/>
          </w:tcPr>
          <w:p w14:paraId="029A3333" w14:textId="6CEBC010"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12</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753</w:t>
            </w:r>
          </w:p>
        </w:tc>
        <w:tc>
          <w:tcPr>
            <w:tcW w:w="627" w:type="pct"/>
            <w:vAlign w:val="center"/>
          </w:tcPr>
          <w:p w14:paraId="70AAD350" w14:textId="16030B58"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575</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428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814</w:t>
            </w:r>
          </w:p>
        </w:tc>
        <w:tc>
          <w:tcPr>
            <w:tcW w:w="501" w:type="pct"/>
            <w:vAlign w:val="center"/>
          </w:tcPr>
          <w:p w14:paraId="64798F36" w14:textId="7E196C2A"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22</w:t>
            </w:r>
          </w:p>
        </w:tc>
      </w:tr>
      <w:tr w:rsidR="00320910" w:rsidRPr="00E84F7D" w14:paraId="5DBAA0C2" w14:textId="77777777" w:rsidTr="008E6149">
        <w:trPr>
          <w:trHeight w:val="242"/>
        </w:trPr>
        <w:tc>
          <w:tcPr>
            <w:tcW w:w="1627" w:type="pct"/>
            <w:shd w:val="clear" w:color="auto" w:fill="auto"/>
            <w:noWrap/>
            <w:vAlign w:val="center"/>
          </w:tcPr>
          <w:p w14:paraId="6283D727" w14:textId="77777777" w:rsidR="00320910" w:rsidRPr="00E84F7D" w:rsidRDefault="00320910" w:rsidP="008E6149">
            <w:pPr>
              <w:spacing w:after="0" w:line="240" w:lineRule="auto"/>
              <w:ind w:left="209"/>
              <w:rPr>
                <w:rFonts w:eastAsia="Times New Roman" w:cstheme="minorHAnsi"/>
                <w:b/>
                <w:bCs/>
                <w:color w:val="000000" w:themeColor="text1"/>
                <w:sz w:val="18"/>
                <w:szCs w:val="18"/>
                <w:lang w:val="it-IT" w:eastAsia="it-IT"/>
              </w:rPr>
            </w:pPr>
            <w:r w:rsidRPr="00E84F7D">
              <w:rPr>
                <w:rFonts w:eastAsia="Times New Roman" w:cstheme="minorHAnsi"/>
                <w:color w:val="000000" w:themeColor="text1"/>
                <w:sz w:val="18"/>
                <w:szCs w:val="18"/>
                <w:lang w:val="it-IT" w:eastAsia="it-IT"/>
              </w:rPr>
              <w:t>≥80</w:t>
            </w:r>
          </w:p>
        </w:tc>
        <w:tc>
          <w:tcPr>
            <w:tcW w:w="581" w:type="pct"/>
            <w:shd w:val="clear" w:color="auto" w:fill="auto"/>
            <w:vAlign w:val="center"/>
          </w:tcPr>
          <w:p w14:paraId="76E1EE46" w14:textId="4D996AE4"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322</w:t>
            </w:r>
          </w:p>
        </w:tc>
        <w:tc>
          <w:tcPr>
            <w:tcW w:w="706" w:type="pct"/>
            <w:shd w:val="clear" w:color="auto" w:fill="auto"/>
            <w:vAlign w:val="center"/>
          </w:tcPr>
          <w:p w14:paraId="547EDDFA" w14:textId="3B2C1B14"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55</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150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424</w:t>
            </w:r>
          </w:p>
        </w:tc>
        <w:tc>
          <w:tcPr>
            <w:tcW w:w="493" w:type="pct"/>
            <w:shd w:val="clear" w:color="auto" w:fill="auto"/>
            <w:vAlign w:val="center"/>
          </w:tcPr>
          <w:p w14:paraId="2216A50D" w14:textId="14F633FD"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05</w:t>
            </w:r>
          </w:p>
        </w:tc>
        <w:tc>
          <w:tcPr>
            <w:tcW w:w="465" w:type="pct"/>
            <w:vAlign w:val="center"/>
          </w:tcPr>
          <w:p w14:paraId="59C6A668" w14:textId="06BFEC5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14</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686</w:t>
            </w:r>
          </w:p>
        </w:tc>
        <w:tc>
          <w:tcPr>
            <w:tcW w:w="627" w:type="pct"/>
            <w:vAlign w:val="center"/>
          </w:tcPr>
          <w:p w14:paraId="34EAD6F2" w14:textId="3C5293AF"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508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920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428</w:t>
            </w:r>
          </w:p>
        </w:tc>
        <w:tc>
          <w:tcPr>
            <w:tcW w:w="501" w:type="pct"/>
            <w:vAlign w:val="center"/>
          </w:tcPr>
          <w:p w14:paraId="3044E2B9" w14:textId="732132E1"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29</w:t>
            </w:r>
          </w:p>
        </w:tc>
      </w:tr>
      <w:tr w:rsidR="00320910" w:rsidRPr="00E84F7D" w14:paraId="641C9921" w14:textId="77777777" w:rsidTr="008E6149">
        <w:trPr>
          <w:trHeight w:val="242"/>
        </w:trPr>
        <w:tc>
          <w:tcPr>
            <w:tcW w:w="1627" w:type="pct"/>
            <w:shd w:val="clear" w:color="auto" w:fill="auto"/>
            <w:noWrap/>
            <w:vAlign w:val="center"/>
          </w:tcPr>
          <w:p w14:paraId="5BB60C3D" w14:textId="77777777" w:rsidR="00320910" w:rsidRPr="00E84F7D" w:rsidRDefault="00320910" w:rsidP="008E6149">
            <w:pPr>
              <w:spacing w:after="0" w:line="240" w:lineRule="auto"/>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Genere</w:t>
            </w:r>
          </w:p>
        </w:tc>
        <w:tc>
          <w:tcPr>
            <w:tcW w:w="581" w:type="pct"/>
            <w:shd w:val="clear" w:color="auto" w:fill="auto"/>
            <w:vAlign w:val="center"/>
          </w:tcPr>
          <w:p w14:paraId="72007139"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p>
        </w:tc>
        <w:tc>
          <w:tcPr>
            <w:tcW w:w="706" w:type="pct"/>
            <w:shd w:val="clear" w:color="auto" w:fill="auto"/>
            <w:vAlign w:val="center"/>
          </w:tcPr>
          <w:p w14:paraId="16049B95"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p>
        </w:tc>
        <w:tc>
          <w:tcPr>
            <w:tcW w:w="493" w:type="pct"/>
            <w:shd w:val="clear" w:color="auto" w:fill="auto"/>
            <w:vAlign w:val="center"/>
          </w:tcPr>
          <w:p w14:paraId="49D170FB"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p>
        </w:tc>
        <w:tc>
          <w:tcPr>
            <w:tcW w:w="465" w:type="pct"/>
            <w:vAlign w:val="center"/>
          </w:tcPr>
          <w:p w14:paraId="02E81C76"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p>
        </w:tc>
        <w:tc>
          <w:tcPr>
            <w:tcW w:w="627" w:type="pct"/>
            <w:vAlign w:val="center"/>
          </w:tcPr>
          <w:p w14:paraId="1D989517"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p>
        </w:tc>
        <w:tc>
          <w:tcPr>
            <w:tcW w:w="501" w:type="pct"/>
            <w:vAlign w:val="center"/>
          </w:tcPr>
          <w:p w14:paraId="019C4C02"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p>
        </w:tc>
      </w:tr>
      <w:tr w:rsidR="00320910" w:rsidRPr="00E84F7D" w14:paraId="4A6EEB0C" w14:textId="77777777" w:rsidTr="008E6149">
        <w:trPr>
          <w:trHeight w:val="242"/>
        </w:trPr>
        <w:tc>
          <w:tcPr>
            <w:tcW w:w="1627" w:type="pct"/>
            <w:shd w:val="clear" w:color="auto" w:fill="auto"/>
            <w:noWrap/>
            <w:vAlign w:val="center"/>
          </w:tcPr>
          <w:p w14:paraId="382B6DDE"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Donne</w:t>
            </w:r>
          </w:p>
        </w:tc>
        <w:tc>
          <w:tcPr>
            <w:tcW w:w="581" w:type="pct"/>
            <w:shd w:val="clear" w:color="auto" w:fill="auto"/>
            <w:vAlign w:val="center"/>
          </w:tcPr>
          <w:p w14:paraId="7522ABA5" w14:textId="7550DD33"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24</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755</w:t>
            </w:r>
          </w:p>
        </w:tc>
        <w:tc>
          <w:tcPr>
            <w:tcW w:w="706" w:type="pct"/>
            <w:shd w:val="clear" w:color="auto" w:fill="auto"/>
            <w:vAlign w:val="center"/>
          </w:tcPr>
          <w:p w14:paraId="4E1FDC84" w14:textId="25E78DE8"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213</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807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852</w:t>
            </w:r>
          </w:p>
        </w:tc>
        <w:tc>
          <w:tcPr>
            <w:tcW w:w="493" w:type="pct"/>
            <w:shd w:val="clear" w:color="auto" w:fill="auto"/>
            <w:vAlign w:val="center"/>
          </w:tcPr>
          <w:p w14:paraId="375B8C4B" w14:textId="56C4D2D8"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16</w:t>
            </w:r>
          </w:p>
        </w:tc>
        <w:tc>
          <w:tcPr>
            <w:tcW w:w="465" w:type="pct"/>
            <w:vAlign w:val="center"/>
          </w:tcPr>
          <w:p w14:paraId="4E21F901" w14:textId="451E2A73"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39</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389</w:t>
            </w:r>
          </w:p>
        </w:tc>
        <w:tc>
          <w:tcPr>
            <w:tcW w:w="627" w:type="pct"/>
            <w:vAlign w:val="center"/>
          </w:tcPr>
          <w:p w14:paraId="085A7A73" w14:textId="5C13A3A3"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136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179</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756</w:t>
            </w:r>
          </w:p>
        </w:tc>
        <w:tc>
          <w:tcPr>
            <w:tcW w:w="501" w:type="pct"/>
            <w:vAlign w:val="center"/>
          </w:tcPr>
          <w:p w14:paraId="12185483" w14:textId="1CBB5BE4"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35</w:t>
            </w:r>
          </w:p>
        </w:tc>
      </w:tr>
      <w:tr w:rsidR="00320910" w:rsidRPr="00E84F7D" w14:paraId="7E74E35F" w14:textId="77777777" w:rsidTr="008E6149">
        <w:trPr>
          <w:trHeight w:val="242"/>
        </w:trPr>
        <w:tc>
          <w:tcPr>
            <w:tcW w:w="1627" w:type="pct"/>
            <w:tcBorders>
              <w:bottom w:val="single" w:sz="4" w:space="0" w:color="auto"/>
            </w:tcBorders>
            <w:shd w:val="clear" w:color="auto" w:fill="auto"/>
            <w:noWrap/>
            <w:vAlign w:val="center"/>
          </w:tcPr>
          <w:p w14:paraId="1C3C13D0"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Uomini</w:t>
            </w:r>
          </w:p>
        </w:tc>
        <w:tc>
          <w:tcPr>
            <w:tcW w:w="581" w:type="pct"/>
            <w:tcBorders>
              <w:bottom w:val="single" w:sz="4" w:space="0" w:color="auto"/>
            </w:tcBorders>
            <w:shd w:val="clear" w:color="auto" w:fill="auto"/>
            <w:vAlign w:val="center"/>
          </w:tcPr>
          <w:p w14:paraId="47D0CDFB" w14:textId="71D03EF0"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672</w:t>
            </w:r>
          </w:p>
        </w:tc>
        <w:tc>
          <w:tcPr>
            <w:tcW w:w="706" w:type="pct"/>
            <w:tcBorders>
              <w:bottom w:val="single" w:sz="4" w:space="0" w:color="auto"/>
            </w:tcBorders>
            <w:shd w:val="clear" w:color="auto" w:fill="auto"/>
            <w:vAlign w:val="center"/>
          </w:tcPr>
          <w:p w14:paraId="307AF199" w14:textId="73125726"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196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896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502</w:t>
            </w:r>
          </w:p>
        </w:tc>
        <w:tc>
          <w:tcPr>
            <w:tcW w:w="493" w:type="pct"/>
            <w:tcBorders>
              <w:bottom w:val="single" w:sz="4" w:space="0" w:color="auto"/>
            </w:tcBorders>
            <w:shd w:val="clear" w:color="auto" w:fill="auto"/>
            <w:vAlign w:val="center"/>
          </w:tcPr>
          <w:p w14:paraId="77934522" w14:textId="7FB11C05"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10</w:t>
            </w:r>
          </w:p>
        </w:tc>
        <w:tc>
          <w:tcPr>
            <w:tcW w:w="465" w:type="pct"/>
            <w:tcBorders>
              <w:bottom w:val="single" w:sz="4" w:space="0" w:color="auto"/>
            </w:tcBorders>
            <w:vAlign w:val="center"/>
          </w:tcPr>
          <w:p w14:paraId="67D01F49" w14:textId="6AD9AEBE"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30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219</w:t>
            </w:r>
          </w:p>
        </w:tc>
        <w:tc>
          <w:tcPr>
            <w:tcW w:w="627" w:type="pct"/>
            <w:tcBorders>
              <w:bottom w:val="single" w:sz="4" w:space="0" w:color="auto"/>
            </w:tcBorders>
            <w:vAlign w:val="center"/>
          </w:tcPr>
          <w:p w14:paraId="364D3020" w14:textId="5456AF9F"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928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591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734</w:t>
            </w:r>
          </w:p>
        </w:tc>
        <w:tc>
          <w:tcPr>
            <w:tcW w:w="501" w:type="pct"/>
            <w:tcBorders>
              <w:bottom w:val="single" w:sz="4" w:space="0" w:color="auto"/>
            </w:tcBorders>
            <w:vAlign w:val="center"/>
          </w:tcPr>
          <w:p w14:paraId="4A3C1816" w14:textId="7583077C"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33</w:t>
            </w:r>
          </w:p>
        </w:tc>
      </w:tr>
      <w:tr w:rsidR="00320910" w:rsidRPr="00E84F7D" w14:paraId="12DF1B29" w14:textId="77777777" w:rsidTr="008E6149">
        <w:trPr>
          <w:trHeight w:val="242"/>
        </w:trPr>
        <w:tc>
          <w:tcPr>
            <w:tcW w:w="1627" w:type="pct"/>
            <w:tcBorders>
              <w:bottom w:val="single" w:sz="4" w:space="0" w:color="auto"/>
            </w:tcBorders>
            <w:shd w:val="clear" w:color="auto" w:fill="auto"/>
            <w:noWrap/>
            <w:vAlign w:val="center"/>
          </w:tcPr>
          <w:p w14:paraId="6543BC7B" w14:textId="77777777" w:rsidR="00320910" w:rsidRPr="00E84F7D" w:rsidRDefault="00320910" w:rsidP="008E6149">
            <w:pPr>
              <w:spacing w:after="0" w:line="240" w:lineRule="auto"/>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Area geografica</w:t>
            </w:r>
          </w:p>
        </w:tc>
        <w:tc>
          <w:tcPr>
            <w:tcW w:w="581" w:type="pct"/>
            <w:tcBorders>
              <w:bottom w:val="single" w:sz="4" w:space="0" w:color="auto"/>
            </w:tcBorders>
            <w:shd w:val="clear" w:color="auto" w:fill="auto"/>
            <w:vAlign w:val="center"/>
          </w:tcPr>
          <w:p w14:paraId="72A29605"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 </w:t>
            </w:r>
          </w:p>
        </w:tc>
        <w:tc>
          <w:tcPr>
            <w:tcW w:w="706" w:type="pct"/>
            <w:tcBorders>
              <w:bottom w:val="single" w:sz="4" w:space="0" w:color="auto"/>
            </w:tcBorders>
            <w:shd w:val="clear" w:color="auto" w:fill="auto"/>
            <w:vAlign w:val="center"/>
          </w:tcPr>
          <w:p w14:paraId="626227C3"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 </w:t>
            </w:r>
          </w:p>
        </w:tc>
        <w:tc>
          <w:tcPr>
            <w:tcW w:w="493" w:type="pct"/>
            <w:tcBorders>
              <w:bottom w:val="single" w:sz="4" w:space="0" w:color="auto"/>
            </w:tcBorders>
            <w:shd w:val="clear" w:color="auto" w:fill="auto"/>
            <w:vAlign w:val="center"/>
          </w:tcPr>
          <w:p w14:paraId="6A9C5E0C"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 </w:t>
            </w:r>
          </w:p>
        </w:tc>
        <w:tc>
          <w:tcPr>
            <w:tcW w:w="465" w:type="pct"/>
            <w:tcBorders>
              <w:bottom w:val="single" w:sz="4" w:space="0" w:color="auto"/>
            </w:tcBorders>
            <w:vAlign w:val="center"/>
          </w:tcPr>
          <w:p w14:paraId="0BD0D604"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 </w:t>
            </w:r>
          </w:p>
        </w:tc>
        <w:tc>
          <w:tcPr>
            <w:tcW w:w="627" w:type="pct"/>
            <w:tcBorders>
              <w:bottom w:val="single" w:sz="4" w:space="0" w:color="auto"/>
            </w:tcBorders>
            <w:vAlign w:val="center"/>
          </w:tcPr>
          <w:p w14:paraId="65AF2141"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 </w:t>
            </w:r>
          </w:p>
        </w:tc>
        <w:tc>
          <w:tcPr>
            <w:tcW w:w="501" w:type="pct"/>
            <w:tcBorders>
              <w:bottom w:val="single" w:sz="4" w:space="0" w:color="auto"/>
            </w:tcBorders>
            <w:vAlign w:val="center"/>
          </w:tcPr>
          <w:p w14:paraId="0A9BB799"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 </w:t>
            </w:r>
          </w:p>
        </w:tc>
      </w:tr>
      <w:tr w:rsidR="00320910" w:rsidRPr="00E84F7D" w14:paraId="56712010" w14:textId="77777777" w:rsidTr="008E6149">
        <w:trPr>
          <w:trHeight w:val="242"/>
        </w:trPr>
        <w:tc>
          <w:tcPr>
            <w:tcW w:w="1627" w:type="pct"/>
            <w:tcBorders>
              <w:bottom w:val="single" w:sz="4" w:space="0" w:color="auto"/>
            </w:tcBorders>
            <w:shd w:val="clear" w:color="auto" w:fill="auto"/>
            <w:noWrap/>
            <w:vAlign w:val="center"/>
          </w:tcPr>
          <w:p w14:paraId="1421BEAD"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Nord</w:t>
            </w:r>
          </w:p>
        </w:tc>
        <w:tc>
          <w:tcPr>
            <w:tcW w:w="581" w:type="pct"/>
            <w:tcBorders>
              <w:bottom w:val="single" w:sz="4" w:space="0" w:color="auto"/>
            </w:tcBorders>
            <w:shd w:val="clear" w:color="auto" w:fill="auto"/>
            <w:vAlign w:val="center"/>
          </w:tcPr>
          <w:p w14:paraId="6D9CB0F6" w14:textId="050D2A3B"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914</w:t>
            </w:r>
          </w:p>
        </w:tc>
        <w:tc>
          <w:tcPr>
            <w:tcW w:w="706" w:type="pct"/>
            <w:tcBorders>
              <w:bottom w:val="single" w:sz="4" w:space="0" w:color="auto"/>
            </w:tcBorders>
            <w:shd w:val="clear" w:color="auto" w:fill="auto"/>
            <w:vAlign w:val="center"/>
          </w:tcPr>
          <w:p w14:paraId="2F3DBD76" w14:textId="2CA151F6"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217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061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647</w:t>
            </w:r>
          </w:p>
        </w:tc>
        <w:tc>
          <w:tcPr>
            <w:tcW w:w="493" w:type="pct"/>
            <w:tcBorders>
              <w:bottom w:val="single" w:sz="4" w:space="0" w:color="auto"/>
            </w:tcBorders>
            <w:shd w:val="clear" w:color="auto" w:fill="auto"/>
            <w:vAlign w:val="center"/>
          </w:tcPr>
          <w:p w14:paraId="6E9A2783" w14:textId="50156719"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24</w:t>
            </w:r>
          </w:p>
        </w:tc>
        <w:tc>
          <w:tcPr>
            <w:tcW w:w="465" w:type="pct"/>
            <w:tcBorders>
              <w:bottom w:val="single" w:sz="4" w:space="0" w:color="auto"/>
            </w:tcBorders>
            <w:vAlign w:val="center"/>
          </w:tcPr>
          <w:p w14:paraId="2AEAD004" w14:textId="3319321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35</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125</w:t>
            </w:r>
          </w:p>
        </w:tc>
        <w:tc>
          <w:tcPr>
            <w:tcW w:w="627" w:type="pct"/>
            <w:tcBorders>
              <w:bottom w:val="single" w:sz="4" w:space="0" w:color="auto"/>
            </w:tcBorders>
            <w:vAlign w:val="center"/>
          </w:tcPr>
          <w:p w14:paraId="0D3AF403" w14:textId="27EFFF6E"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098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117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724</w:t>
            </w:r>
          </w:p>
        </w:tc>
        <w:tc>
          <w:tcPr>
            <w:tcW w:w="501" w:type="pct"/>
            <w:tcBorders>
              <w:bottom w:val="single" w:sz="4" w:space="0" w:color="auto"/>
            </w:tcBorders>
            <w:vAlign w:val="center"/>
          </w:tcPr>
          <w:p w14:paraId="29AFC04D" w14:textId="72AAA41D"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32</w:t>
            </w:r>
          </w:p>
        </w:tc>
      </w:tr>
      <w:tr w:rsidR="00320910" w:rsidRPr="00E84F7D" w14:paraId="2FD976F5" w14:textId="77777777" w:rsidTr="008E6149">
        <w:trPr>
          <w:trHeight w:val="242"/>
        </w:trPr>
        <w:tc>
          <w:tcPr>
            <w:tcW w:w="1627" w:type="pct"/>
            <w:tcBorders>
              <w:bottom w:val="single" w:sz="4" w:space="0" w:color="auto"/>
            </w:tcBorders>
            <w:shd w:val="clear" w:color="auto" w:fill="auto"/>
            <w:noWrap/>
            <w:vAlign w:val="center"/>
          </w:tcPr>
          <w:p w14:paraId="4CE7FAB3"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Centro</w:t>
            </w:r>
          </w:p>
        </w:tc>
        <w:tc>
          <w:tcPr>
            <w:tcW w:w="581" w:type="pct"/>
            <w:tcBorders>
              <w:bottom w:val="single" w:sz="4" w:space="0" w:color="auto"/>
            </w:tcBorders>
            <w:shd w:val="clear" w:color="auto" w:fill="auto"/>
            <w:vAlign w:val="center"/>
          </w:tcPr>
          <w:p w14:paraId="7A898CA6" w14:textId="6AD02FF5"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306</w:t>
            </w:r>
          </w:p>
        </w:tc>
        <w:tc>
          <w:tcPr>
            <w:tcW w:w="706" w:type="pct"/>
            <w:tcBorders>
              <w:bottom w:val="single" w:sz="4" w:space="0" w:color="auto"/>
            </w:tcBorders>
            <w:shd w:val="clear" w:color="auto" w:fill="auto"/>
            <w:vAlign w:val="center"/>
          </w:tcPr>
          <w:p w14:paraId="09E5C487" w14:textId="525B247B"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56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368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359</w:t>
            </w:r>
          </w:p>
        </w:tc>
        <w:tc>
          <w:tcPr>
            <w:tcW w:w="493" w:type="pct"/>
            <w:tcBorders>
              <w:bottom w:val="single" w:sz="4" w:space="0" w:color="auto"/>
            </w:tcBorders>
            <w:shd w:val="clear" w:color="auto" w:fill="auto"/>
            <w:vAlign w:val="center"/>
          </w:tcPr>
          <w:p w14:paraId="4EB12B36" w14:textId="451984F6"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12</w:t>
            </w:r>
          </w:p>
        </w:tc>
        <w:tc>
          <w:tcPr>
            <w:tcW w:w="465" w:type="pct"/>
            <w:tcBorders>
              <w:bottom w:val="single" w:sz="4" w:space="0" w:color="auto"/>
            </w:tcBorders>
            <w:vAlign w:val="center"/>
          </w:tcPr>
          <w:p w14:paraId="7DD38AFC" w14:textId="1788EBA9"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9</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833</w:t>
            </w:r>
          </w:p>
        </w:tc>
        <w:tc>
          <w:tcPr>
            <w:tcW w:w="627" w:type="pct"/>
            <w:tcBorders>
              <w:bottom w:val="single" w:sz="4" w:space="0" w:color="auto"/>
            </w:tcBorders>
            <w:vAlign w:val="center"/>
          </w:tcPr>
          <w:p w14:paraId="3787D39E" w14:textId="7945D1B1"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290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018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762</w:t>
            </w:r>
          </w:p>
        </w:tc>
        <w:tc>
          <w:tcPr>
            <w:tcW w:w="501" w:type="pct"/>
            <w:tcBorders>
              <w:bottom w:val="single" w:sz="4" w:space="0" w:color="auto"/>
            </w:tcBorders>
            <w:vAlign w:val="center"/>
          </w:tcPr>
          <w:p w14:paraId="70CE27CA" w14:textId="053F20B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34</w:t>
            </w:r>
          </w:p>
        </w:tc>
      </w:tr>
      <w:tr w:rsidR="00320910" w:rsidRPr="00E84F7D" w14:paraId="686B26D0" w14:textId="77777777" w:rsidTr="008E6149">
        <w:trPr>
          <w:trHeight w:val="242"/>
        </w:trPr>
        <w:tc>
          <w:tcPr>
            <w:tcW w:w="1627" w:type="pct"/>
            <w:tcBorders>
              <w:bottom w:val="single" w:sz="4" w:space="0" w:color="auto"/>
            </w:tcBorders>
            <w:shd w:val="clear" w:color="auto" w:fill="auto"/>
            <w:noWrap/>
            <w:vAlign w:val="center"/>
          </w:tcPr>
          <w:p w14:paraId="44B5512C"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Sud e isole</w:t>
            </w:r>
          </w:p>
        </w:tc>
        <w:tc>
          <w:tcPr>
            <w:tcW w:w="581" w:type="pct"/>
            <w:tcBorders>
              <w:bottom w:val="single" w:sz="4" w:space="0" w:color="auto"/>
            </w:tcBorders>
            <w:shd w:val="clear" w:color="auto" w:fill="auto"/>
            <w:vAlign w:val="center"/>
          </w:tcPr>
          <w:p w14:paraId="7AF7D95A" w14:textId="69657172"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13</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207</w:t>
            </w:r>
          </w:p>
        </w:tc>
        <w:tc>
          <w:tcPr>
            <w:tcW w:w="706" w:type="pct"/>
            <w:tcBorders>
              <w:bottom w:val="single" w:sz="4" w:space="0" w:color="auto"/>
            </w:tcBorders>
            <w:shd w:val="clear" w:color="auto" w:fill="auto"/>
            <w:vAlign w:val="center"/>
          </w:tcPr>
          <w:p w14:paraId="115A3FC5" w14:textId="0A9DB94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137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274</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348</w:t>
            </w:r>
          </w:p>
        </w:tc>
        <w:tc>
          <w:tcPr>
            <w:tcW w:w="493" w:type="pct"/>
            <w:tcBorders>
              <w:bottom w:val="single" w:sz="4" w:space="0" w:color="auto"/>
            </w:tcBorders>
            <w:shd w:val="clear" w:color="auto" w:fill="auto"/>
            <w:vAlign w:val="center"/>
          </w:tcPr>
          <w:p w14:paraId="4E4D1599" w14:textId="1AFC866A"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96</w:t>
            </w:r>
          </w:p>
        </w:tc>
        <w:tc>
          <w:tcPr>
            <w:tcW w:w="465" w:type="pct"/>
            <w:tcBorders>
              <w:bottom w:val="single" w:sz="4" w:space="0" w:color="auto"/>
            </w:tcBorders>
            <w:vAlign w:val="center"/>
          </w:tcPr>
          <w:p w14:paraId="7E426EC9" w14:textId="050E5530"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24</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650</w:t>
            </w:r>
          </w:p>
        </w:tc>
        <w:tc>
          <w:tcPr>
            <w:tcW w:w="627" w:type="pct"/>
            <w:tcBorders>
              <w:bottom w:val="single" w:sz="4" w:space="0" w:color="auto"/>
            </w:tcBorders>
            <w:vAlign w:val="center"/>
          </w:tcPr>
          <w:p w14:paraId="55A11DEA" w14:textId="576E7D6D"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676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635</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005</w:t>
            </w:r>
          </w:p>
        </w:tc>
        <w:tc>
          <w:tcPr>
            <w:tcW w:w="501" w:type="pct"/>
            <w:tcBorders>
              <w:bottom w:val="single" w:sz="4" w:space="0" w:color="auto"/>
            </w:tcBorders>
            <w:vAlign w:val="center"/>
          </w:tcPr>
          <w:p w14:paraId="21056E74" w14:textId="3B9BB9C5"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36</w:t>
            </w:r>
          </w:p>
        </w:tc>
      </w:tr>
      <w:tr w:rsidR="00320910" w:rsidRPr="00A227B4" w14:paraId="297312C6" w14:textId="77777777" w:rsidTr="008E6149">
        <w:trPr>
          <w:trHeight w:val="242"/>
        </w:trPr>
        <w:tc>
          <w:tcPr>
            <w:tcW w:w="1627" w:type="pct"/>
            <w:tcBorders>
              <w:bottom w:val="single" w:sz="4" w:space="0" w:color="auto"/>
            </w:tcBorders>
            <w:shd w:val="clear" w:color="auto" w:fill="auto"/>
            <w:noWrap/>
            <w:vAlign w:val="center"/>
          </w:tcPr>
          <w:p w14:paraId="71BCEF1F" w14:textId="77777777" w:rsidR="00320910" w:rsidRPr="00E84F7D" w:rsidRDefault="00320910" w:rsidP="008E6149">
            <w:pPr>
              <w:spacing w:after="0" w:line="240" w:lineRule="auto"/>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Periodo di prima somministrazione del vaccino COVID-19</w:t>
            </w:r>
          </w:p>
        </w:tc>
        <w:tc>
          <w:tcPr>
            <w:tcW w:w="581" w:type="pct"/>
            <w:tcBorders>
              <w:bottom w:val="single" w:sz="4" w:space="0" w:color="auto"/>
            </w:tcBorders>
            <w:shd w:val="clear" w:color="auto" w:fill="auto"/>
            <w:vAlign w:val="center"/>
          </w:tcPr>
          <w:p w14:paraId="782E783C"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color w:val="000000"/>
                <w:sz w:val="18"/>
                <w:szCs w:val="18"/>
                <w:lang w:val="it-IT"/>
              </w:rPr>
              <w:t> </w:t>
            </w:r>
          </w:p>
        </w:tc>
        <w:tc>
          <w:tcPr>
            <w:tcW w:w="706" w:type="pct"/>
            <w:tcBorders>
              <w:bottom w:val="single" w:sz="4" w:space="0" w:color="auto"/>
            </w:tcBorders>
            <w:shd w:val="clear" w:color="auto" w:fill="auto"/>
            <w:vAlign w:val="center"/>
          </w:tcPr>
          <w:p w14:paraId="29C79F4B"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color w:val="000000"/>
                <w:sz w:val="18"/>
                <w:szCs w:val="18"/>
                <w:lang w:val="it-IT"/>
              </w:rPr>
              <w:t> </w:t>
            </w:r>
          </w:p>
        </w:tc>
        <w:tc>
          <w:tcPr>
            <w:tcW w:w="493" w:type="pct"/>
            <w:tcBorders>
              <w:bottom w:val="single" w:sz="4" w:space="0" w:color="auto"/>
            </w:tcBorders>
            <w:shd w:val="clear" w:color="auto" w:fill="auto"/>
            <w:vAlign w:val="center"/>
          </w:tcPr>
          <w:p w14:paraId="6A36BFB5"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b/>
                <w:bCs/>
                <w:color w:val="000000"/>
                <w:sz w:val="18"/>
                <w:szCs w:val="18"/>
                <w:lang w:val="it-IT"/>
              </w:rPr>
              <w:t> </w:t>
            </w:r>
          </w:p>
        </w:tc>
        <w:tc>
          <w:tcPr>
            <w:tcW w:w="465" w:type="pct"/>
            <w:tcBorders>
              <w:bottom w:val="single" w:sz="4" w:space="0" w:color="auto"/>
            </w:tcBorders>
            <w:vAlign w:val="center"/>
          </w:tcPr>
          <w:p w14:paraId="51657D30"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color w:val="000000"/>
                <w:sz w:val="18"/>
                <w:szCs w:val="18"/>
                <w:lang w:val="it-IT"/>
              </w:rPr>
              <w:t> </w:t>
            </w:r>
          </w:p>
        </w:tc>
        <w:tc>
          <w:tcPr>
            <w:tcW w:w="627" w:type="pct"/>
            <w:tcBorders>
              <w:bottom w:val="single" w:sz="4" w:space="0" w:color="auto"/>
            </w:tcBorders>
            <w:vAlign w:val="center"/>
          </w:tcPr>
          <w:p w14:paraId="3D806CA2"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color w:val="000000"/>
                <w:sz w:val="18"/>
                <w:szCs w:val="18"/>
                <w:lang w:val="it-IT"/>
              </w:rPr>
              <w:t> </w:t>
            </w:r>
          </w:p>
        </w:tc>
        <w:tc>
          <w:tcPr>
            <w:tcW w:w="501" w:type="pct"/>
            <w:tcBorders>
              <w:bottom w:val="single" w:sz="4" w:space="0" w:color="auto"/>
            </w:tcBorders>
            <w:vAlign w:val="center"/>
          </w:tcPr>
          <w:p w14:paraId="02D466A9"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color w:val="000000"/>
                <w:sz w:val="18"/>
                <w:szCs w:val="18"/>
                <w:lang w:val="it-IT"/>
              </w:rPr>
              <w:t> </w:t>
            </w:r>
          </w:p>
        </w:tc>
      </w:tr>
      <w:tr w:rsidR="00320910" w:rsidRPr="00E84F7D" w14:paraId="4B4759C0" w14:textId="77777777" w:rsidTr="008E6149">
        <w:trPr>
          <w:trHeight w:val="242"/>
        </w:trPr>
        <w:tc>
          <w:tcPr>
            <w:tcW w:w="1627" w:type="pct"/>
            <w:tcBorders>
              <w:bottom w:val="single" w:sz="4" w:space="0" w:color="auto"/>
            </w:tcBorders>
            <w:shd w:val="clear" w:color="auto" w:fill="auto"/>
            <w:noWrap/>
            <w:vAlign w:val="bottom"/>
          </w:tcPr>
          <w:p w14:paraId="3EA4044F"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27/12/2020-31/01/2021</w:t>
            </w:r>
          </w:p>
        </w:tc>
        <w:tc>
          <w:tcPr>
            <w:tcW w:w="581" w:type="pct"/>
            <w:tcBorders>
              <w:bottom w:val="single" w:sz="4" w:space="0" w:color="auto"/>
            </w:tcBorders>
            <w:shd w:val="clear" w:color="auto" w:fill="auto"/>
            <w:vAlign w:val="center"/>
          </w:tcPr>
          <w:p w14:paraId="35461507" w14:textId="3A4E2910"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9</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526</w:t>
            </w:r>
          </w:p>
        </w:tc>
        <w:tc>
          <w:tcPr>
            <w:tcW w:w="706" w:type="pct"/>
            <w:tcBorders>
              <w:bottom w:val="single" w:sz="4" w:space="0" w:color="auto"/>
            </w:tcBorders>
            <w:shd w:val="clear" w:color="auto" w:fill="auto"/>
            <w:vAlign w:val="center"/>
          </w:tcPr>
          <w:p w14:paraId="5CA18E93" w14:textId="3E276ADD"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158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746</w:t>
            </w:r>
          </w:p>
        </w:tc>
        <w:tc>
          <w:tcPr>
            <w:tcW w:w="493" w:type="pct"/>
            <w:tcBorders>
              <w:bottom w:val="single" w:sz="4" w:space="0" w:color="auto"/>
            </w:tcBorders>
            <w:shd w:val="clear" w:color="auto" w:fill="auto"/>
            <w:vAlign w:val="center"/>
          </w:tcPr>
          <w:p w14:paraId="3CE77FDC" w14:textId="094E97D5"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5</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55</w:t>
            </w:r>
          </w:p>
        </w:tc>
        <w:tc>
          <w:tcPr>
            <w:tcW w:w="465" w:type="pct"/>
            <w:tcBorders>
              <w:bottom w:val="single" w:sz="4" w:space="0" w:color="auto"/>
            </w:tcBorders>
            <w:vAlign w:val="center"/>
          </w:tcPr>
          <w:p w14:paraId="1820E853" w14:textId="48C883AC"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376</w:t>
            </w:r>
          </w:p>
        </w:tc>
        <w:tc>
          <w:tcPr>
            <w:tcW w:w="627" w:type="pct"/>
            <w:tcBorders>
              <w:bottom w:val="single" w:sz="4" w:space="0" w:color="auto"/>
            </w:tcBorders>
            <w:vAlign w:val="center"/>
          </w:tcPr>
          <w:p w14:paraId="417D83FB" w14:textId="6CE5ADEA"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249</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352</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024</w:t>
            </w:r>
          </w:p>
        </w:tc>
        <w:tc>
          <w:tcPr>
            <w:tcW w:w="501" w:type="pct"/>
            <w:tcBorders>
              <w:bottom w:val="single" w:sz="4" w:space="0" w:color="auto"/>
            </w:tcBorders>
            <w:vAlign w:val="center"/>
          </w:tcPr>
          <w:p w14:paraId="073D0722" w14:textId="3C755626"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74</w:t>
            </w:r>
          </w:p>
        </w:tc>
      </w:tr>
      <w:tr w:rsidR="00320910" w:rsidRPr="00E84F7D" w14:paraId="774CABC1" w14:textId="77777777" w:rsidTr="008E6149">
        <w:trPr>
          <w:trHeight w:val="242"/>
        </w:trPr>
        <w:tc>
          <w:tcPr>
            <w:tcW w:w="1627" w:type="pct"/>
            <w:tcBorders>
              <w:bottom w:val="single" w:sz="4" w:space="0" w:color="auto"/>
            </w:tcBorders>
            <w:shd w:val="clear" w:color="auto" w:fill="auto"/>
            <w:noWrap/>
            <w:vAlign w:val="bottom"/>
          </w:tcPr>
          <w:p w14:paraId="0B4AEFA6"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01/02/2021-28/02/2021</w:t>
            </w:r>
          </w:p>
        </w:tc>
        <w:tc>
          <w:tcPr>
            <w:tcW w:w="581" w:type="pct"/>
            <w:tcBorders>
              <w:bottom w:val="single" w:sz="4" w:space="0" w:color="auto"/>
            </w:tcBorders>
            <w:shd w:val="clear" w:color="auto" w:fill="auto"/>
            <w:vAlign w:val="center"/>
          </w:tcPr>
          <w:p w14:paraId="54D85F10" w14:textId="47AC879C"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3</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928</w:t>
            </w:r>
          </w:p>
        </w:tc>
        <w:tc>
          <w:tcPr>
            <w:tcW w:w="706" w:type="pct"/>
            <w:tcBorders>
              <w:bottom w:val="single" w:sz="4" w:space="0" w:color="auto"/>
            </w:tcBorders>
            <w:shd w:val="clear" w:color="auto" w:fill="auto"/>
            <w:vAlign w:val="center"/>
          </w:tcPr>
          <w:p w14:paraId="0BC3C5A7" w14:textId="0DC26239"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528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682</w:t>
            </w:r>
          </w:p>
        </w:tc>
        <w:tc>
          <w:tcPr>
            <w:tcW w:w="493" w:type="pct"/>
            <w:tcBorders>
              <w:bottom w:val="single" w:sz="4" w:space="0" w:color="auto"/>
            </w:tcBorders>
            <w:shd w:val="clear" w:color="auto" w:fill="auto"/>
            <w:vAlign w:val="center"/>
          </w:tcPr>
          <w:p w14:paraId="70824D2A" w14:textId="307B5889"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38</w:t>
            </w:r>
          </w:p>
        </w:tc>
        <w:tc>
          <w:tcPr>
            <w:tcW w:w="465" w:type="pct"/>
            <w:tcBorders>
              <w:bottom w:val="single" w:sz="4" w:space="0" w:color="auto"/>
            </w:tcBorders>
            <w:vAlign w:val="center"/>
          </w:tcPr>
          <w:p w14:paraId="51D7389F" w14:textId="410817FC"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961</w:t>
            </w:r>
          </w:p>
        </w:tc>
        <w:tc>
          <w:tcPr>
            <w:tcW w:w="627" w:type="pct"/>
            <w:tcBorders>
              <w:bottom w:val="single" w:sz="4" w:space="0" w:color="auto"/>
            </w:tcBorders>
            <w:vAlign w:val="center"/>
          </w:tcPr>
          <w:p w14:paraId="48A4090C" w14:textId="7CB6A5AD"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194</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401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627</w:t>
            </w:r>
          </w:p>
        </w:tc>
        <w:tc>
          <w:tcPr>
            <w:tcW w:w="501" w:type="pct"/>
            <w:tcBorders>
              <w:bottom w:val="single" w:sz="4" w:space="0" w:color="auto"/>
            </w:tcBorders>
            <w:vAlign w:val="center"/>
          </w:tcPr>
          <w:p w14:paraId="57FBF0AB" w14:textId="72C72CCA"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41</w:t>
            </w:r>
          </w:p>
        </w:tc>
      </w:tr>
      <w:tr w:rsidR="00320910" w:rsidRPr="00E84F7D" w14:paraId="475A93CB" w14:textId="77777777" w:rsidTr="008E6149">
        <w:trPr>
          <w:trHeight w:val="242"/>
        </w:trPr>
        <w:tc>
          <w:tcPr>
            <w:tcW w:w="1627" w:type="pct"/>
            <w:tcBorders>
              <w:bottom w:val="single" w:sz="4" w:space="0" w:color="auto"/>
            </w:tcBorders>
            <w:shd w:val="clear" w:color="auto" w:fill="auto"/>
            <w:noWrap/>
            <w:vAlign w:val="bottom"/>
          </w:tcPr>
          <w:p w14:paraId="536610EF"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01/03/2021-28/03/2021</w:t>
            </w:r>
          </w:p>
        </w:tc>
        <w:tc>
          <w:tcPr>
            <w:tcW w:w="581" w:type="pct"/>
            <w:tcBorders>
              <w:bottom w:val="single" w:sz="4" w:space="0" w:color="auto"/>
            </w:tcBorders>
            <w:shd w:val="clear" w:color="auto" w:fill="auto"/>
            <w:vAlign w:val="center"/>
          </w:tcPr>
          <w:p w14:paraId="0DA48A8D" w14:textId="06FE147E"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431</w:t>
            </w:r>
          </w:p>
        </w:tc>
        <w:tc>
          <w:tcPr>
            <w:tcW w:w="706" w:type="pct"/>
            <w:tcBorders>
              <w:bottom w:val="single" w:sz="4" w:space="0" w:color="auto"/>
            </w:tcBorders>
            <w:shd w:val="clear" w:color="auto" w:fill="auto"/>
            <w:vAlign w:val="center"/>
          </w:tcPr>
          <w:p w14:paraId="7C640202" w14:textId="7F0B2253"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679</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483</w:t>
            </w:r>
          </w:p>
        </w:tc>
        <w:tc>
          <w:tcPr>
            <w:tcW w:w="493" w:type="pct"/>
            <w:tcBorders>
              <w:bottom w:val="single" w:sz="4" w:space="0" w:color="auto"/>
            </w:tcBorders>
            <w:shd w:val="clear" w:color="auto" w:fill="auto"/>
            <w:vAlign w:val="center"/>
          </w:tcPr>
          <w:p w14:paraId="23AE0F2C" w14:textId="7098320E"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24</w:t>
            </w:r>
          </w:p>
        </w:tc>
        <w:tc>
          <w:tcPr>
            <w:tcW w:w="465" w:type="pct"/>
            <w:tcBorders>
              <w:bottom w:val="single" w:sz="4" w:space="0" w:color="auto"/>
            </w:tcBorders>
            <w:vAlign w:val="center"/>
          </w:tcPr>
          <w:p w14:paraId="6788DBFB" w14:textId="1F2058E2"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830</w:t>
            </w:r>
          </w:p>
        </w:tc>
        <w:tc>
          <w:tcPr>
            <w:tcW w:w="627" w:type="pct"/>
            <w:tcBorders>
              <w:bottom w:val="single" w:sz="4" w:space="0" w:color="auto"/>
            </w:tcBorders>
            <w:vAlign w:val="center"/>
          </w:tcPr>
          <w:p w14:paraId="086C1397" w14:textId="4C2B75AF"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287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410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508</w:t>
            </w:r>
          </w:p>
        </w:tc>
        <w:tc>
          <w:tcPr>
            <w:tcW w:w="501" w:type="pct"/>
            <w:tcBorders>
              <w:bottom w:val="single" w:sz="4" w:space="0" w:color="auto"/>
            </w:tcBorders>
            <w:vAlign w:val="center"/>
          </w:tcPr>
          <w:p w14:paraId="35382E72" w14:textId="5A438B59"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27</w:t>
            </w:r>
          </w:p>
        </w:tc>
      </w:tr>
      <w:tr w:rsidR="00320910" w:rsidRPr="00E84F7D" w14:paraId="762B1AA5" w14:textId="77777777" w:rsidTr="008E6149">
        <w:trPr>
          <w:trHeight w:val="242"/>
        </w:trPr>
        <w:tc>
          <w:tcPr>
            <w:tcW w:w="1627" w:type="pct"/>
            <w:tcBorders>
              <w:bottom w:val="single" w:sz="4" w:space="0" w:color="auto"/>
            </w:tcBorders>
            <w:shd w:val="clear" w:color="auto" w:fill="auto"/>
            <w:noWrap/>
            <w:vAlign w:val="bottom"/>
          </w:tcPr>
          <w:p w14:paraId="78E4BE6A"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29/03/2021-25/04/2021</w:t>
            </w:r>
          </w:p>
        </w:tc>
        <w:tc>
          <w:tcPr>
            <w:tcW w:w="581" w:type="pct"/>
            <w:tcBorders>
              <w:bottom w:val="single" w:sz="4" w:space="0" w:color="auto"/>
            </w:tcBorders>
            <w:shd w:val="clear" w:color="auto" w:fill="auto"/>
            <w:vAlign w:val="center"/>
          </w:tcPr>
          <w:p w14:paraId="7A69E962" w14:textId="116DC430"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239</w:t>
            </w:r>
          </w:p>
        </w:tc>
        <w:tc>
          <w:tcPr>
            <w:tcW w:w="706" w:type="pct"/>
            <w:tcBorders>
              <w:bottom w:val="single" w:sz="4" w:space="0" w:color="auto"/>
            </w:tcBorders>
            <w:shd w:val="clear" w:color="auto" w:fill="auto"/>
            <w:vAlign w:val="center"/>
          </w:tcPr>
          <w:p w14:paraId="4C2B3EA0" w14:textId="79229925"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52</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648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132</w:t>
            </w:r>
          </w:p>
        </w:tc>
        <w:tc>
          <w:tcPr>
            <w:tcW w:w="493" w:type="pct"/>
            <w:tcBorders>
              <w:bottom w:val="single" w:sz="4" w:space="0" w:color="auto"/>
            </w:tcBorders>
            <w:shd w:val="clear" w:color="auto" w:fill="auto"/>
            <w:vAlign w:val="center"/>
          </w:tcPr>
          <w:p w14:paraId="320E5ADD" w14:textId="0E76A7CF"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37</w:t>
            </w:r>
          </w:p>
        </w:tc>
        <w:tc>
          <w:tcPr>
            <w:tcW w:w="465" w:type="pct"/>
            <w:tcBorders>
              <w:bottom w:val="single" w:sz="4" w:space="0" w:color="auto"/>
            </w:tcBorders>
            <w:vAlign w:val="center"/>
          </w:tcPr>
          <w:p w14:paraId="6BC0A8D9" w14:textId="7547052A"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9</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424</w:t>
            </w:r>
          </w:p>
        </w:tc>
        <w:tc>
          <w:tcPr>
            <w:tcW w:w="627" w:type="pct"/>
            <w:tcBorders>
              <w:bottom w:val="single" w:sz="4" w:space="0" w:color="auto"/>
            </w:tcBorders>
            <w:vAlign w:val="center"/>
          </w:tcPr>
          <w:p w14:paraId="591A817F" w14:textId="69DD9E62"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421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111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941</w:t>
            </w:r>
          </w:p>
        </w:tc>
        <w:tc>
          <w:tcPr>
            <w:tcW w:w="501" w:type="pct"/>
            <w:tcBorders>
              <w:bottom w:val="single" w:sz="4" w:space="0" w:color="auto"/>
            </w:tcBorders>
            <w:vAlign w:val="center"/>
          </w:tcPr>
          <w:p w14:paraId="68E6B7EE" w14:textId="713C8D5D"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22</w:t>
            </w:r>
          </w:p>
        </w:tc>
      </w:tr>
      <w:tr w:rsidR="00320910" w:rsidRPr="00E84F7D" w14:paraId="21CA9387" w14:textId="77777777" w:rsidTr="008E6149">
        <w:trPr>
          <w:trHeight w:val="242"/>
        </w:trPr>
        <w:tc>
          <w:tcPr>
            <w:tcW w:w="1627" w:type="pct"/>
            <w:tcBorders>
              <w:bottom w:val="single" w:sz="4" w:space="0" w:color="auto"/>
            </w:tcBorders>
            <w:shd w:val="clear" w:color="auto" w:fill="auto"/>
            <w:noWrap/>
            <w:vAlign w:val="bottom"/>
          </w:tcPr>
          <w:p w14:paraId="6EAA2F70"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26/04/2021-23/05/2021</w:t>
            </w:r>
          </w:p>
        </w:tc>
        <w:tc>
          <w:tcPr>
            <w:tcW w:w="581" w:type="pct"/>
            <w:tcBorders>
              <w:bottom w:val="single" w:sz="4" w:space="0" w:color="auto"/>
            </w:tcBorders>
            <w:shd w:val="clear" w:color="auto" w:fill="auto"/>
            <w:vAlign w:val="center"/>
          </w:tcPr>
          <w:p w14:paraId="11EAD380" w14:textId="7DC8E119"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4</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529</w:t>
            </w:r>
          </w:p>
        </w:tc>
        <w:tc>
          <w:tcPr>
            <w:tcW w:w="706" w:type="pct"/>
            <w:tcBorders>
              <w:bottom w:val="single" w:sz="4" w:space="0" w:color="auto"/>
            </w:tcBorders>
            <w:shd w:val="clear" w:color="auto" w:fill="auto"/>
            <w:vAlign w:val="center"/>
          </w:tcPr>
          <w:p w14:paraId="78C09A0E" w14:textId="08D0BCB8"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78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928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619</w:t>
            </w:r>
          </w:p>
        </w:tc>
        <w:tc>
          <w:tcPr>
            <w:tcW w:w="493" w:type="pct"/>
            <w:tcBorders>
              <w:bottom w:val="single" w:sz="4" w:space="0" w:color="auto"/>
            </w:tcBorders>
            <w:shd w:val="clear" w:color="auto" w:fill="auto"/>
            <w:vAlign w:val="center"/>
          </w:tcPr>
          <w:p w14:paraId="0FE31302" w14:textId="4F0AC9F4"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57</w:t>
            </w:r>
          </w:p>
        </w:tc>
        <w:tc>
          <w:tcPr>
            <w:tcW w:w="465" w:type="pct"/>
            <w:tcBorders>
              <w:bottom w:val="single" w:sz="4" w:space="0" w:color="auto"/>
            </w:tcBorders>
            <w:vAlign w:val="center"/>
          </w:tcPr>
          <w:p w14:paraId="155CFA63" w14:textId="2B2F5BCD"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9</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397</w:t>
            </w:r>
          </w:p>
        </w:tc>
        <w:tc>
          <w:tcPr>
            <w:tcW w:w="627" w:type="pct"/>
            <w:tcBorders>
              <w:bottom w:val="single" w:sz="4" w:space="0" w:color="auto"/>
            </w:tcBorders>
            <w:vAlign w:val="center"/>
          </w:tcPr>
          <w:p w14:paraId="2AFE6675" w14:textId="1CCE4684"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441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386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648</w:t>
            </w:r>
          </w:p>
        </w:tc>
        <w:tc>
          <w:tcPr>
            <w:tcW w:w="501" w:type="pct"/>
            <w:tcBorders>
              <w:bottom w:val="single" w:sz="4" w:space="0" w:color="auto"/>
            </w:tcBorders>
            <w:vAlign w:val="center"/>
          </w:tcPr>
          <w:p w14:paraId="7CAD5CB5" w14:textId="288E1235"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21</w:t>
            </w:r>
          </w:p>
        </w:tc>
      </w:tr>
      <w:tr w:rsidR="00320910" w:rsidRPr="00E84F7D" w14:paraId="1523B0E7" w14:textId="77777777" w:rsidTr="008E6149">
        <w:trPr>
          <w:trHeight w:val="242"/>
        </w:trPr>
        <w:tc>
          <w:tcPr>
            <w:tcW w:w="1627" w:type="pct"/>
            <w:shd w:val="clear" w:color="auto" w:fill="auto"/>
            <w:noWrap/>
            <w:vAlign w:val="bottom"/>
          </w:tcPr>
          <w:p w14:paraId="738A5A9C"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24/05/2021-20/06/2021</w:t>
            </w:r>
          </w:p>
        </w:tc>
        <w:tc>
          <w:tcPr>
            <w:tcW w:w="581" w:type="pct"/>
            <w:shd w:val="clear" w:color="auto" w:fill="auto"/>
            <w:vAlign w:val="center"/>
          </w:tcPr>
          <w:p w14:paraId="1DC31832" w14:textId="3E3880AD"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163</w:t>
            </w:r>
          </w:p>
        </w:tc>
        <w:tc>
          <w:tcPr>
            <w:tcW w:w="706" w:type="pct"/>
            <w:shd w:val="clear" w:color="auto" w:fill="auto"/>
            <w:vAlign w:val="center"/>
          </w:tcPr>
          <w:p w14:paraId="60840403" w14:textId="4AEF4E75"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116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517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465</w:t>
            </w:r>
          </w:p>
        </w:tc>
        <w:tc>
          <w:tcPr>
            <w:tcW w:w="493" w:type="pct"/>
            <w:shd w:val="clear" w:color="auto" w:fill="auto"/>
            <w:vAlign w:val="center"/>
          </w:tcPr>
          <w:p w14:paraId="439ADCBA" w14:textId="49C13E49"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19</w:t>
            </w:r>
          </w:p>
        </w:tc>
        <w:tc>
          <w:tcPr>
            <w:tcW w:w="465" w:type="pct"/>
            <w:vAlign w:val="center"/>
          </w:tcPr>
          <w:p w14:paraId="2712AC28" w14:textId="6A86EA5B"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13</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005</w:t>
            </w:r>
          </w:p>
        </w:tc>
        <w:tc>
          <w:tcPr>
            <w:tcW w:w="627" w:type="pct"/>
            <w:vAlign w:val="center"/>
          </w:tcPr>
          <w:p w14:paraId="1263332E" w14:textId="086C91DB"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378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117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736</w:t>
            </w:r>
          </w:p>
        </w:tc>
        <w:tc>
          <w:tcPr>
            <w:tcW w:w="501" w:type="pct"/>
            <w:vAlign w:val="center"/>
          </w:tcPr>
          <w:p w14:paraId="02AF2B7B" w14:textId="74BB42C2"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34</w:t>
            </w:r>
          </w:p>
        </w:tc>
      </w:tr>
      <w:tr w:rsidR="00320910" w:rsidRPr="00E84F7D" w14:paraId="75E95C71" w14:textId="77777777" w:rsidTr="008E6149">
        <w:trPr>
          <w:trHeight w:val="242"/>
        </w:trPr>
        <w:tc>
          <w:tcPr>
            <w:tcW w:w="1627" w:type="pct"/>
            <w:tcBorders>
              <w:bottom w:val="single" w:sz="4" w:space="0" w:color="auto"/>
            </w:tcBorders>
            <w:shd w:val="clear" w:color="auto" w:fill="auto"/>
            <w:noWrap/>
            <w:vAlign w:val="bottom"/>
          </w:tcPr>
          <w:p w14:paraId="15464FA3"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21/06/2021-18/07/2021</w:t>
            </w:r>
          </w:p>
        </w:tc>
        <w:tc>
          <w:tcPr>
            <w:tcW w:w="581" w:type="pct"/>
            <w:tcBorders>
              <w:bottom w:val="single" w:sz="4" w:space="0" w:color="auto"/>
            </w:tcBorders>
            <w:shd w:val="clear" w:color="auto" w:fill="auto"/>
            <w:vAlign w:val="center"/>
          </w:tcPr>
          <w:p w14:paraId="4569CFCB" w14:textId="2C1B7A4A"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4</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014</w:t>
            </w:r>
          </w:p>
        </w:tc>
        <w:tc>
          <w:tcPr>
            <w:tcW w:w="706" w:type="pct"/>
            <w:tcBorders>
              <w:bottom w:val="single" w:sz="4" w:space="0" w:color="auto"/>
            </w:tcBorders>
            <w:shd w:val="clear" w:color="auto" w:fill="auto"/>
            <w:vAlign w:val="center"/>
          </w:tcPr>
          <w:p w14:paraId="075585B4" w14:textId="5544F01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56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286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348</w:t>
            </w:r>
          </w:p>
        </w:tc>
        <w:tc>
          <w:tcPr>
            <w:tcW w:w="493" w:type="pct"/>
            <w:tcBorders>
              <w:bottom w:val="single" w:sz="4" w:space="0" w:color="auto"/>
            </w:tcBorders>
            <w:shd w:val="clear" w:color="auto" w:fill="auto"/>
            <w:vAlign w:val="center"/>
          </w:tcPr>
          <w:p w14:paraId="76F6ED87" w14:textId="190FF645"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71</w:t>
            </w:r>
          </w:p>
        </w:tc>
        <w:tc>
          <w:tcPr>
            <w:tcW w:w="465" w:type="pct"/>
            <w:tcBorders>
              <w:bottom w:val="single" w:sz="4" w:space="0" w:color="auto"/>
            </w:tcBorders>
            <w:vAlign w:val="center"/>
          </w:tcPr>
          <w:p w14:paraId="7A035B83" w14:textId="31668082"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3</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543</w:t>
            </w:r>
          </w:p>
        </w:tc>
        <w:tc>
          <w:tcPr>
            <w:tcW w:w="627" w:type="pct"/>
            <w:tcBorders>
              <w:bottom w:val="single" w:sz="4" w:space="0" w:color="auto"/>
            </w:tcBorders>
            <w:vAlign w:val="center"/>
          </w:tcPr>
          <w:p w14:paraId="6DDA9A03" w14:textId="35D82E8E"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90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575</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428</w:t>
            </w:r>
          </w:p>
        </w:tc>
        <w:tc>
          <w:tcPr>
            <w:tcW w:w="501" w:type="pct"/>
            <w:tcBorders>
              <w:bottom w:val="single" w:sz="4" w:space="0" w:color="auto"/>
            </w:tcBorders>
            <w:vAlign w:val="center"/>
          </w:tcPr>
          <w:p w14:paraId="765354CE" w14:textId="15F1C01D"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39</w:t>
            </w:r>
          </w:p>
        </w:tc>
      </w:tr>
      <w:tr w:rsidR="00320910" w:rsidRPr="00E84F7D" w14:paraId="0C14CC75" w14:textId="77777777" w:rsidTr="008E6149">
        <w:trPr>
          <w:trHeight w:val="242"/>
        </w:trPr>
        <w:tc>
          <w:tcPr>
            <w:tcW w:w="1627" w:type="pct"/>
            <w:shd w:val="clear" w:color="auto" w:fill="auto"/>
            <w:noWrap/>
            <w:vAlign w:val="bottom"/>
          </w:tcPr>
          <w:p w14:paraId="148C53C3"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19/07/2021-15/08/2021</w:t>
            </w:r>
          </w:p>
        </w:tc>
        <w:tc>
          <w:tcPr>
            <w:tcW w:w="581" w:type="pct"/>
            <w:shd w:val="clear" w:color="auto" w:fill="auto"/>
            <w:vAlign w:val="center"/>
          </w:tcPr>
          <w:p w14:paraId="66762B4A" w14:textId="4555E7CA"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597</w:t>
            </w:r>
          </w:p>
        </w:tc>
        <w:tc>
          <w:tcPr>
            <w:tcW w:w="706" w:type="pct"/>
            <w:shd w:val="clear" w:color="auto" w:fill="auto"/>
            <w:vAlign w:val="center"/>
          </w:tcPr>
          <w:p w14:paraId="5E67B2B6" w14:textId="3C0929CB"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43</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956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880</w:t>
            </w:r>
          </w:p>
        </w:tc>
        <w:tc>
          <w:tcPr>
            <w:tcW w:w="493" w:type="pct"/>
            <w:shd w:val="clear" w:color="auto" w:fill="auto"/>
            <w:vAlign w:val="center"/>
          </w:tcPr>
          <w:p w14:paraId="4B3FE17C" w14:textId="3BECE214"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96</w:t>
            </w:r>
          </w:p>
        </w:tc>
        <w:tc>
          <w:tcPr>
            <w:tcW w:w="465" w:type="pct"/>
            <w:vAlign w:val="center"/>
          </w:tcPr>
          <w:p w14:paraId="6CBA2511"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72</w:t>
            </w:r>
          </w:p>
        </w:tc>
        <w:tc>
          <w:tcPr>
            <w:tcW w:w="627" w:type="pct"/>
            <w:vAlign w:val="center"/>
          </w:tcPr>
          <w:p w14:paraId="3C2CE0E8" w14:textId="354B4E30"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415</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578</w:t>
            </w:r>
          </w:p>
        </w:tc>
        <w:tc>
          <w:tcPr>
            <w:tcW w:w="501" w:type="pct"/>
            <w:vAlign w:val="center"/>
          </w:tcPr>
          <w:p w14:paraId="20BCF522" w14:textId="76600EE8"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30</w:t>
            </w:r>
          </w:p>
        </w:tc>
      </w:tr>
      <w:tr w:rsidR="00320910" w:rsidRPr="00A227B4" w14:paraId="0279B002" w14:textId="77777777" w:rsidTr="008E6149">
        <w:trPr>
          <w:trHeight w:val="242"/>
        </w:trPr>
        <w:tc>
          <w:tcPr>
            <w:tcW w:w="1627" w:type="pct"/>
            <w:tcBorders>
              <w:bottom w:val="single" w:sz="4" w:space="0" w:color="auto"/>
            </w:tcBorders>
            <w:shd w:val="clear" w:color="auto" w:fill="auto"/>
            <w:noWrap/>
            <w:vAlign w:val="center"/>
          </w:tcPr>
          <w:p w14:paraId="14F45356" w14:textId="77777777" w:rsidR="00320910" w:rsidRPr="00E84F7D" w:rsidRDefault="00320910" w:rsidP="008E6149">
            <w:pPr>
              <w:spacing w:after="0" w:line="240" w:lineRule="auto"/>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Categorie prioritarie per la vaccinazione</w:t>
            </w:r>
          </w:p>
        </w:tc>
        <w:tc>
          <w:tcPr>
            <w:tcW w:w="581" w:type="pct"/>
            <w:tcBorders>
              <w:bottom w:val="single" w:sz="4" w:space="0" w:color="auto"/>
            </w:tcBorders>
            <w:shd w:val="clear" w:color="auto" w:fill="auto"/>
            <w:vAlign w:val="center"/>
          </w:tcPr>
          <w:p w14:paraId="7C2DD1DF"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p>
        </w:tc>
        <w:tc>
          <w:tcPr>
            <w:tcW w:w="706" w:type="pct"/>
            <w:tcBorders>
              <w:bottom w:val="single" w:sz="4" w:space="0" w:color="auto"/>
            </w:tcBorders>
            <w:shd w:val="clear" w:color="auto" w:fill="auto"/>
            <w:vAlign w:val="center"/>
          </w:tcPr>
          <w:p w14:paraId="04D94ABB"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p>
        </w:tc>
        <w:tc>
          <w:tcPr>
            <w:tcW w:w="493" w:type="pct"/>
            <w:tcBorders>
              <w:bottom w:val="single" w:sz="4" w:space="0" w:color="auto"/>
            </w:tcBorders>
            <w:shd w:val="clear" w:color="auto" w:fill="auto"/>
            <w:vAlign w:val="center"/>
          </w:tcPr>
          <w:p w14:paraId="1F149F02"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p>
        </w:tc>
        <w:tc>
          <w:tcPr>
            <w:tcW w:w="465" w:type="pct"/>
            <w:tcBorders>
              <w:bottom w:val="single" w:sz="4" w:space="0" w:color="auto"/>
            </w:tcBorders>
            <w:vAlign w:val="center"/>
          </w:tcPr>
          <w:p w14:paraId="7524D69B"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p>
        </w:tc>
        <w:tc>
          <w:tcPr>
            <w:tcW w:w="627" w:type="pct"/>
            <w:tcBorders>
              <w:bottom w:val="single" w:sz="4" w:space="0" w:color="auto"/>
            </w:tcBorders>
            <w:vAlign w:val="center"/>
          </w:tcPr>
          <w:p w14:paraId="2149F212"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p>
        </w:tc>
        <w:tc>
          <w:tcPr>
            <w:tcW w:w="501" w:type="pct"/>
            <w:tcBorders>
              <w:bottom w:val="single" w:sz="4" w:space="0" w:color="auto"/>
            </w:tcBorders>
            <w:vAlign w:val="center"/>
          </w:tcPr>
          <w:p w14:paraId="2CD85676"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p>
        </w:tc>
      </w:tr>
      <w:tr w:rsidR="00320910" w:rsidRPr="00E84F7D" w14:paraId="15718793" w14:textId="77777777" w:rsidTr="008E6149">
        <w:trPr>
          <w:trHeight w:val="242"/>
        </w:trPr>
        <w:tc>
          <w:tcPr>
            <w:tcW w:w="1627" w:type="pct"/>
            <w:tcBorders>
              <w:bottom w:val="single" w:sz="4" w:space="0" w:color="auto"/>
            </w:tcBorders>
            <w:shd w:val="clear" w:color="auto" w:fill="auto"/>
            <w:noWrap/>
            <w:vAlign w:val="bottom"/>
          </w:tcPr>
          <w:p w14:paraId="1161E69D"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Operatori sanitari</w:t>
            </w:r>
          </w:p>
        </w:tc>
        <w:tc>
          <w:tcPr>
            <w:tcW w:w="581" w:type="pct"/>
            <w:tcBorders>
              <w:bottom w:val="single" w:sz="4" w:space="0" w:color="auto"/>
            </w:tcBorders>
            <w:shd w:val="clear" w:color="auto" w:fill="auto"/>
            <w:vAlign w:val="center"/>
          </w:tcPr>
          <w:p w14:paraId="73D8DD1E" w14:textId="62227E96"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883</w:t>
            </w:r>
          </w:p>
        </w:tc>
        <w:tc>
          <w:tcPr>
            <w:tcW w:w="706" w:type="pct"/>
            <w:tcBorders>
              <w:bottom w:val="single" w:sz="4" w:space="0" w:color="auto"/>
            </w:tcBorders>
            <w:shd w:val="clear" w:color="auto" w:fill="auto"/>
            <w:vAlign w:val="center"/>
          </w:tcPr>
          <w:p w14:paraId="61A7AEB3" w14:textId="5DF358C1"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749</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659</w:t>
            </w:r>
          </w:p>
        </w:tc>
        <w:tc>
          <w:tcPr>
            <w:tcW w:w="493" w:type="pct"/>
            <w:tcBorders>
              <w:bottom w:val="single" w:sz="4" w:space="0" w:color="auto"/>
            </w:tcBorders>
            <w:shd w:val="clear" w:color="auto" w:fill="auto"/>
            <w:vAlign w:val="center"/>
          </w:tcPr>
          <w:p w14:paraId="78E5EAF5" w14:textId="0F3AC1FC"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3</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80</w:t>
            </w:r>
          </w:p>
        </w:tc>
        <w:tc>
          <w:tcPr>
            <w:tcW w:w="465" w:type="pct"/>
            <w:tcBorders>
              <w:bottom w:val="single" w:sz="4" w:space="0" w:color="auto"/>
            </w:tcBorders>
            <w:vAlign w:val="center"/>
          </w:tcPr>
          <w:p w14:paraId="2773A25B" w14:textId="0A4DD9C9"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502</w:t>
            </w:r>
          </w:p>
        </w:tc>
        <w:tc>
          <w:tcPr>
            <w:tcW w:w="627" w:type="pct"/>
            <w:tcBorders>
              <w:bottom w:val="single" w:sz="4" w:space="0" w:color="auto"/>
            </w:tcBorders>
            <w:vAlign w:val="center"/>
          </w:tcPr>
          <w:p w14:paraId="1A283F86" w14:textId="48BFB42D"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264</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476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435</w:t>
            </w:r>
          </w:p>
        </w:tc>
        <w:tc>
          <w:tcPr>
            <w:tcW w:w="501" w:type="pct"/>
            <w:tcBorders>
              <w:bottom w:val="single" w:sz="4" w:space="0" w:color="auto"/>
            </w:tcBorders>
            <w:vAlign w:val="center"/>
          </w:tcPr>
          <w:p w14:paraId="1519AF94" w14:textId="257DBE58"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62</w:t>
            </w:r>
          </w:p>
        </w:tc>
      </w:tr>
      <w:tr w:rsidR="00320910" w:rsidRPr="00E84F7D" w14:paraId="00715F67" w14:textId="77777777" w:rsidTr="008E6149">
        <w:trPr>
          <w:trHeight w:val="242"/>
        </w:trPr>
        <w:tc>
          <w:tcPr>
            <w:tcW w:w="1627" w:type="pct"/>
            <w:tcBorders>
              <w:bottom w:val="single" w:sz="4" w:space="0" w:color="auto"/>
            </w:tcBorders>
            <w:shd w:val="clear" w:color="auto" w:fill="auto"/>
            <w:noWrap/>
            <w:vAlign w:val="bottom"/>
          </w:tcPr>
          <w:p w14:paraId="3F6ADED4"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Ospiti RSA</w:t>
            </w:r>
          </w:p>
        </w:tc>
        <w:tc>
          <w:tcPr>
            <w:tcW w:w="581" w:type="pct"/>
            <w:tcBorders>
              <w:bottom w:val="single" w:sz="4" w:space="0" w:color="auto"/>
            </w:tcBorders>
            <w:shd w:val="clear" w:color="auto" w:fill="auto"/>
            <w:vAlign w:val="center"/>
          </w:tcPr>
          <w:p w14:paraId="01F34F59" w14:textId="408A2C7A"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3</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399</w:t>
            </w:r>
          </w:p>
        </w:tc>
        <w:tc>
          <w:tcPr>
            <w:tcW w:w="706" w:type="pct"/>
            <w:tcBorders>
              <w:bottom w:val="single" w:sz="4" w:space="0" w:color="auto"/>
            </w:tcBorders>
            <w:shd w:val="clear" w:color="auto" w:fill="auto"/>
            <w:vAlign w:val="center"/>
          </w:tcPr>
          <w:p w14:paraId="6E37C51F" w14:textId="40EAA5BD"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3</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950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760</w:t>
            </w:r>
          </w:p>
        </w:tc>
        <w:tc>
          <w:tcPr>
            <w:tcW w:w="493" w:type="pct"/>
            <w:tcBorders>
              <w:bottom w:val="single" w:sz="4" w:space="0" w:color="auto"/>
            </w:tcBorders>
            <w:shd w:val="clear" w:color="auto" w:fill="auto"/>
            <w:vAlign w:val="center"/>
          </w:tcPr>
          <w:p w14:paraId="6C923484" w14:textId="5A93C8CB"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60</w:t>
            </w:r>
          </w:p>
        </w:tc>
        <w:tc>
          <w:tcPr>
            <w:tcW w:w="465" w:type="pct"/>
            <w:tcBorders>
              <w:bottom w:val="single" w:sz="4" w:space="0" w:color="auto"/>
            </w:tcBorders>
            <w:vAlign w:val="center"/>
          </w:tcPr>
          <w:p w14:paraId="3FF59F45" w14:textId="4E1EB89B"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4</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097</w:t>
            </w:r>
          </w:p>
        </w:tc>
        <w:tc>
          <w:tcPr>
            <w:tcW w:w="627" w:type="pct"/>
            <w:tcBorders>
              <w:bottom w:val="single" w:sz="4" w:space="0" w:color="auto"/>
            </w:tcBorders>
            <w:vAlign w:val="center"/>
          </w:tcPr>
          <w:p w14:paraId="4CEBE286" w14:textId="095D272B"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44</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083</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837</w:t>
            </w:r>
          </w:p>
        </w:tc>
        <w:tc>
          <w:tcPr>
            <w:tcW w:w="501" w:type="pct"/>
            <w:tcBorders>
              <w:bottom w:val="single" w:sz="4" w:space="0" w:color="auto"/>
            </w:tcBorders>
            <w:vAlign w:val="center"/>
          </w:tcPr>
          <w:p w14:paraId="105DFAF6" w14:textId="37F7EB6C"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93</w:t>
            </w:r>
          </w:p>
        </w:tc>
      </w:tr>
      <w:tr w:rsidR="00320910" w:rsidRPr="00E84F7D" w14:paraId="21B0E40E" w14:textId="77777777" w:rsidTr="008E6149">
        <w:trPr>
          <w:trHeight w:val="242"/>
        </w:trPr>
        <w:tc>
          <w:tcPr>
            <w:tcW w:w="1627" w:type="pct"/>
            <w:tcBorders>
              <w:bottom w:val="single" w:sz="4" w:space="0" w:color="auto"/>
            </w:tcBorders>
            <w:shd w:val="clear" w:color="auto" w:fill="auto"/>
            <w:noWrap/>
            <w:vAlign w:val="bottom"/>
          </w:tcPr>
          <w:p w14:paraId="18659018"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Individui affetti da patologie</w:t>
            </w:r>
          </w:p>
        </w:tc>
        <w:tc>
          <w:tcPr>
            <w:tcW w:w="581" w:type="pct"/>
            <w:tcBorders>
              <w:bottom w:val="single" w:sz="4" w:space="0" w:color="auto"/>
            </w:tcBorders>
            <w:shd w:val="clear" w:color="auto" w:fill="auto"/>
            <w:vAlign w:val="center"/>
          </w:tcPr>
          <w:p w14:paraId="0B559980" w14:textId="6333D9FB"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5</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341</w:t>
            </w:r>
          </w:p>
        </w:tc>
        <w:tc>
          <w:tcPr>
            <w:tcW w:w="706" w:type="pct"/>
            <w:tcBorders>
              <w:bottom w:val="single" w:sz="4" w:space="0" w:color="auto"/>
            </w:tcBorders>
            <w:shd w:val="clear" w:color="auto" w:fill="auto"/>
            <w:vAlign w:val="center"/>
          </w:tcPr>
          <w:p w14:paraId="6DEE8BFE" w14:textId="70344AAA"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56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735</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741</w:t>
            </w:r>
          </w:p>
        </w:tc>
        <w:tc>
          <w:tcPr>
            <w:tcW w:w="493" w:type="pct"/>
            <w:tcBorders>
              <w:bottom w:val="single" w:sz="4" w:space="0" w:color="auto"/>
            </w:tcBorders>
            <w:shd w:val="clear" w:color="auto" w:fill="auto"/>
            <w:vAlign w:val="center"/>
          </w:tcPr>
          <w:p w14:paraId="737D7237" w14:textId="5ED71935"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94</w:t>
            </w:r>
          </w:p>
        </w:tc>
        <w:tc>
          <w:tcPr>
            <w:tcW w:w="465" w:type="pct"/>
            <w:tcBorders>
              <w:bottom w:val="single" w:sz="4" w:space="0" w:color="auto"/>
            </w:tcBorders>
            <w:vAlign w:val="center"/>
          </w:tcPr>
          <w:p w14:paraId="2E938F9C" w14:textId="7F9A35F6"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9</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580</w:t>
            </w:r>
          </w:p>
        </w:tc>
        <w:tc>
          <w:tcPr>
            <w:tcW w:w="627" w:type="pct"/>
            <w:tcBorders>
              <w:bottom w:val="single" w:sz="4" w:space="0" w:color="auto"/>
            </w:tcBorders>
            <w:vAlign w:val="center"/>
          </w:tcPr>
          <w:p w14:paraId="6DF90F3D" w14:textId="76DE0561"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349</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536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920</w:t>
            </w:r>
          </w:p>
        </w:tc>
        <w:tc>
          <w:tcPr>
            <w:tcW w:w="501" w:type="pct"/>
            <w:tcBorders>
              <w:bottom w:val="single" w:sz="4" w:space="0" w:color="auto"/>
            </w:tcBorders>
            <w:vAlign w:val="center"/>
          </w:tcPr>
          <w:p w14:paraId="06CA8083" w14:textId="2F5DA8BF"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27</w:t>
            </w:r>
          </w:p>
        </w:tc>
      </w:tr>
      <w:tr w:rsidR="00320910" w:rsidRPr="00E84F7D" w14:paraId="7C83A3AE" w14:textId="77777777" w:rsidTr="008E6149">
        <w:trPr>
          <w:trHeight w:val="242"/>
        </w:trPr>
        <w:tc>
          <w:tcPr>
            <w:tcW w:w="1627" w:type="pct"/>
            <w:shd w:val="clear" w:color="auto" w:fill="auto"/>
            <w:noWrap/>
            <w:vAlign w:val="bottom"/>
          </w:tcPr>
          <w:p w14:paraId="1A29A4FC"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Individui immunocompromessi</w:t>
            </w:r>
          </w:p>
        </w:tc>
        <w:tc>
          <w:tcPr>
            <w:tcW w:w="581" w:type="pct"/>
            <w:shd w:val="clear" w:color="auto" w:fill="auto"/>
            <w:vAlign w:val="center"/>
          </w:tcPr>
          <w:p w14:paraId="4AAB1E5B"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105</w:t>
            </w:r>
          </w:p>
        </w:tc>
        <w:tc>
          <w:tcPr>
            <w:tcW w:w="706" w:type="pct"/>
            <w:shd w:val="clear" w:color="auto" w:fill="auto"/>
            <w:vAlign w:val="center"/>
          </w:tcPr>
          <w:p w14:paraId="21B8557D" w14:textId="38AA5044"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009</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136</w:t>
            </w:r>
          </w:p>
        </w:tc>
        <w:tc>
          <w:tcPr>
            <w:tcW w:w="493" w:type="pct"/>
            <w:shd w:val="clear" w:color="auto" w:fill="auto"/>
            <w:vAlign w:val="center"/>
          </w:tcPr>
          <w:p w14:paraId="37B45A60" w14:textId="00B01F35"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04</w:t>
            </w:r>
          </w:p>
        </w:tc>
        <w:tc>
          <w:tcPr>
            <w:tcW w:w="465" w:type="pct"/>
            <w:vAlign w:val="center"/>
          </w:tcPr>
          <w:p w14:paraId="1CFBF709"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149</w:t>
            </w:r>
          </w:p>
        </w:tc>
        <w:tc>
          <w:tcPr>
            <w:tcW w:w="627" w:type="pct"/>
            <w:vAlign w:val="center"/>
          </w:tcPr>
          <w:p w14:paraId="0940C5CD" w14:textId="0A5DDEDB"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137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758</w:t>
            </w:r>
          </w:p>
        </w:tc>
        <w:tc>
          <w:tcPr>
            <w:tcW w:w="501" w:type="pct"/>
            <w:vAlign w:val="center"/>
          </w:tcPr>
          <w:p w14:paraId="14F0FF6D" w14:textId="3656530B"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24</w:t>
            </w:r>
          </w:p>
        </w:tc>
      </w:tr>
      <w:tr w:rsidR="00320910" w:rsidRPr="00E84F7D" w14:paraId="432CDB32" w14:textId="77777777" w:rsidTr="008E6149">
        <w:trPr>
          <w:trHeight w:val="242"/>
        </w:trPr>
        <w:tc>
          <w:tcPr>
            <w:tcW w:w="1627" w:type="pct"/>
            <w:shd w:val="clear" w:color="auto" w:fill="auto"/>
            <w:noWrap/>
            <w:vAlign w:val="bottom"/>
          </w:tcPr>
          <w:p w14:paraId="612B350F"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Altre categorie prioritarie</w:t>
            </w:r>
          </w:p>
        </w:tc>
        <w:tc>
          <w:tcPr>
            <w:tcW w:w="581" w:type="pct"/>
            <w:shd w:val="clear" w:color="auto" w:fill="auto"/>
            <w:vAlign w:val="center"/>
          </w:tcPr>
          <w:p w14:paraId="519F5B30" w14:textId="450DA2FA" w:rsidR="00320910" w:rsidRPr="00E84F7D" w:rsidRDefault="00320910" w:rsidP="008E6149">
            <w:pPr>
              <w:spacing w:after="0" w:line="240" w:lineRule="auto"/>
              <w:jc w:val="right"/>
              <w:rPr>
                <w:rFonts w:ascii="Calibri" w:hAnsi="Calibri" w:cs="Calibri"/>
                <w:color w:val="000000"/>
                <w:sz w:val="18"/>
                <w:szCs w:val="18"/>
                <w:lang w:val="it-IT"/>
              </w:rPr>
            </w:pPr>
            <w:r w:rsidRPr="00E84F7D">
              <w:rPr>
                <w:rFonts w:ascii="Calibri" w:hAnsi="Calibri" w:cs="Calibri"/>
                <w:color w:val="000000"/>
                <w:sz w:val="18"/>
                <w:szCs w:val="18"/>
                <w:lang w:val="it-IT"/>
              </w:rPr>
              <w:t>3</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958</w:t>
            </w:r>
          </w:p>
        </w:tc>
        <w:tc>
          <w:tcPr>
            <w:tcW w:w="706" w:type="pct"/>
            <w:shd w:val="clear" w:color="auto" w:fill="auto"/>
            <w:vAlign w:val="center"/>
          </w:tcPr>
          <w:p w14:paraId="697A1900" w14:textId="339E69DC" w:rsidR="00320910" w:rsidRPr="00E84F7D" w:rsidRDefault="00320910" w:rsidP="008E6149">
            <w:pPr>
              <w:spacing w:after="0" w:line="240" w:lineRule="auto"/>
              <w:jc w:val="right"/>
              <w:rPr>
                <w:rFonts w:ascii="Calibri" w:hAnsi="Calibri" w:cs="Calibri"/>
                <w:color w:val="000000"/>
                <w:sz w:val="18"/>
                <w:szCs w:val="18"/>
                <w:lang w:val="it-IT"/>
              </w:rPr>
            </w:pPr>
            <w:r w:rsidRPr="00E84F7D">
              <w:rPr>
                <w:rFonts w:ascii="Calibri" w:hAnsi="Calibri" w:cs="Calibri"/>
                <w:color w:val="000000"/>
                <w:sz w:val="18"/>
                <w:szCs w:val="18"/>
                <w:lang w:val="it-IT"/>
              </w:rPr>
              <w:t>37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520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376</w:t>
            </w:r>
          </w:p>
        </w:tc>
        <w:tc>
          <w:tcPr>
            <w:tcW w:w="493" w:type="pct"/>
            <w:shd w:val="clear" w:color="auto" w:fill="auto"/>
            <w:vAlign w:val="center"/>
          </w:tcPr>
          <w:p w14:paraId="0C1E09AB" w14:textId="6567CA5D" w:rsidR="00320910" w:rsidRPr="00E84F7D" w:rsidRDefault="00320910" w:rsidP="008E6149">
            <w:pPr>
              <w:spacing w:after="0" w:line="240" w:lineRule="auto"/>
              <w:jc w:val="right"/>
              <w:rPr>
                <w:rFonts w:ascii="Calibri" w:hAnsi="Calibri" w:cs="Calibri"/>
                <w:color w:val="000000"/>
                <w:sz w:val="18"/>
                <w:szCs w:val="18"/>
                <w:lang w:val="it-IT"/>
              </w:rPr>
            </w:pPr>
            <w:r w:rsidRPr="00E84F7D">
              <w:rPr>
                <w:rFonts w:ascii="Calibri" w:hAnsi="Calibri" w:cs="Calibri"/>
                <w:color w:val="000000"/>
                <w:sz w:val="18"/>
                <w:szCs w:val="18"/>
                <w:lang w:val="it-IT"/>
              </w:rPr>
              <w:t>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05</w:t>
            </w:r>
          </w:p>
        </w:tc>
        <w:tc>
          <w:tcPr>
            <w:tcW w:w="465" w:type="pct"/>
            <w:vAlign w:val="bottom"/>
          </w:tcPr>
          <w:p w14:paraId="7765917A" w14:textId="4E8A2E78" w:rsidR="00320910" w:rsidRPr="00E84F7D" w:rsidRDefault="00320910" w:rsidP="008E6149">
            <w:pPr>
              <w:spacing w:after="0" w:line="240" w:lineRule="auto"/>
              <w:jc w:val="right"/>
              <w:rPr>
                <w:rFonts w:ascii="Calibri" w:hAnsi="Calibri" w:cs="Calibri"/>
                <w:color w:val="000000"/>
                <w:sz w:val="18"/>
                <w:szCs w:val="18"/>
                <w:lang w:val="it-IT"/>
              </w:rPr>
            </w:pPr>
            <w:r w:rsidRPr="00E84F7D">
              <w:rPr>
                <w:rFonts w:ascii="Calibri" w:hAnsi="Calibri" w:cs="Calibri"/>
                <w:color w:val="000000"/>
                <w:sz w:val="18"/>
                <w:szCs w:val="18"/>
                <w:lang w:val="it-IT"/>
              </w:rPr>
              <w:t>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863</w:t>
            </w:r>
          </w:p>
        </w:tc>
        <w:tc>
          <w:tcPr>
            <w:tcW w:w="627" w:type="pct"/>
            <w:vAlign w:val="bottom"/>
          </w:tcPr>
          <w:p w14:paraId="0E8AE38B" w14:textId="60E0429C" w:rsidR="00320910" w:rsidRPr="00E84F7D" w:rsidRDefault="00320910" w:rsidP="008E6149">
            <w:pPr>
              <w:spacing w:after="0" w:line="240" w:lineRule="auto"/>
              <w:jc w:val="right"/>
              <w:rPr>
                <w:rFonts w:ascii="Calibri" w:hAnsi="Calibri" w:cs="Calibri"/>
                <w:color w:val="000000"/>
                <w:sz w:val="18"/>
                <w:szCs w:val="18"/>
                <w:lang w:val="it-IT"/>
              </w:rPr>
            </w:pPr>
            <w:r w:rsidRPr="00E84F7D">
              <w:rPr>
                <w:rFonts w:ascii="Calibri" w:hAnsi="Calibri" w:cs="Calibri"/>
                <w:color w:val="000000"/>
                <w:sz w:val="18"/>
                <w:szCs w:val="18"/>
                <w:lang w:val="it-IT"/>
              </w:rPr>
              <w:t>228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587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233</w:t>
            </w:r>
          </w:p>
        </w:tc>
        <w:tc>
          <w:tcPr>
            <w:tcW w:w="501" w:type="pct"/>
            <w:vAlign w:val="center"/>
          </w:tcPr>
          <w:p w14:paraId="01480678" w14:textId="2242BE08" w:rsidR="00320910" w:rsidRPr="00E84F7D" w:rsidRDefault="00320910" w:rsidP="008E6149">
            <w:pPr>
              <w:spacing w:after="0" w:line="240" w:lineRule="auto"/>
              <w:jc w:val="right"/>
              <w:rPr>
                <w:rFonts w:ascii="Calibri" w:hAnsi="Calibri" w:cs="Calibri"/>
                <w:color w:val="000000"/>
                <w:sz w:val="18"/>
                <w:szCs w:val="18"/>
                <w:lang w:val="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39</w:t>
            </w:r>
          </w:p>
        </w:tc>
      </w:tr>
      <w:tr w:rsidR="00320910" w:rsidRPr="00E84F7D" w14:paraId="42ABB3A2" w14:textId="77777777" w:rsidTr="008E6149">
        <w:trPr>
          <w:trHeight w:val="242"/>
        </w:trPr>
        <w:tc>
          <w:tcPr>
            <w:tcW w:w="1627" w:type="pct"/>
            <w:tcBorders>
              <w:bottom w:val="single" w:sz="4" w:space="0" w:color="auto"/>
            </w:tcBorders>
            <w:shd w:val="clear" w:color="auto" w:fill="auto"/>
            <w:noWrap/>
            <w:vAlign w:val="bottom"/>
          </w:tcPr>
          <w:p w14:paraId="2AE1F072" w14:textId="77777777" w:rsidR="00320910" w:rsidRPr="00E84F7D" w:rsidRDefault="00320910" w:rsidP="008E6149">
            <w:pPr>
              <w:spacing w:after="0" w:line="240" w:lineRule="auto"/>
              <w:ind w:left="209"/>
              <w:rPr>
                <w:rFonts w:eastAsia="Times New Roman" w:cstheme="minorHAnsi"/>
                <w:b/>
                <w:color w:val="000000" w:themeColor="text1"/>
                <w:sz w:val="18"/>
                <w:szCs w:val="18"/>
                <w:lang w:val="it-IT" w:eastAsia="it-IT"/>
              </w:rPr>
            </w:pPr>
            <w:r w:rsidRPr="00E84F7D">
              <w:rPr>
                <w:rFonts w:eastAsia="Times New Roman" w:cstheme="minorHAnsi"/>
                <w:color w:val="000000" w:themeColor="text1"/>
                <w:sz w:val="18"/>
                <w:szCs w:val="18"/>
                <w:lang w:val="it-IT" w:eastAsia="it-IT"/>
              </w:rPr>
              <w:t>Nessuna/non specificata</w:t>
            </w:r>
          </w:p>
        </w:tc>
        <w:tc>
          <w:tcPr>
            <w:tcW w:w="581" w:type="pct"/>
            <w:tcBorders>
              <w:bottom w:val="single" w:sz="4" w:space="0" w:color="auto"/>
            </w:tcBorders>
            <w:shd w:val="clear" w:color="auto" w:fill="auto"/>
            <w:vAlign w:val="center"/>
          </w:tcPr>
          <w:p w14:paraId="38D21E34" w14:textId="1952ED2C" w:rsidR="00320910" w:rsidRPr="00E84F7D" w:rsidRDefault="00320910" w:rsidP="008E6149">
            <w:pPr>
              <w:spacing w:after="0" w:line="240" w:lineRule="auto"/>
              <w:jc w:val="right"/>
              <w:rPr>
                <w:rFonts w:ascii="Calibri" w:hAnsi="Calibri" w:cs="Calibri"/>
                <w:color w:val="000000"/>
                <w:sz w:val="18"/>
                <w:szCs w:val="18"/>
                <w:lang w:val="it-IT"/>
              </w:rPr>
            </w:pPr>
            <w:r w:rsidRPr="00E84F7D">
              <w:rPr>
                <w:rFonts w:ascii="Calibri" w:hAnsi="Calibri" w:cs="Calibri"/>
                <w:color w:val="000000"/>
                <w:sz w:val="18"/>
                <w:szCs w:val="18"/>
                <w:lang w:val="it-IT"/>
              </w:rPr>
              <w:t>25</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741</w:t>
            </w:r>
          </w:p>
        </w:tc>
        <w:tc>
          <w:tcPr>
            <w:tcW w:w="706" w:type="pct"/>
            <w:tcBorders>
              <w:bottom w:val="single" w:sz="4" w:space="0" w:color="auto"/>
            </w:tcBorders>
            <w:shd w:val="clear" w:color="auto" w:fill="auto"/>
            <w:vAlign w:val="center"/>
          </w:tcPr>
          <w:p w14:paraId="6FDD9418" w14:textId="60C332E6" w:rsidR="00320910" w:rsidRPr="00E84F7D" w:rsidRDefault="00320910" w:rsidP="008E6149">
            <w:pPr>
              <w:spacing w:after="0" w:line="240" w:lineRule="auto"/>
              <w:jc w:val="right"/>
              <w:rPr>
                <w:rFonts w:ascii="Calibri" w:hAnsi="Calibri" w:cs="Calibri"/>
                <w:color w:val="000000"/>
                <w:sz w:val="18"/>
                <w:szCs w:val="18"/>
                <w:lang w:val="it-IT"/>
              </w:rPr>
            </w:pPr>
            <w:r w:rsidRPr="00E84F7D">
              <w:rPr>
                <w:rFonts w:ascii="Calibri" w:hAnsi="Calibri" w:cs="Calibri"/>
                <w:color w:val="000000"/>
                <w:sz w:val="18"/>
                <w:szCs w:val="18"/>
                <w:lang w:val="it-IT"/>
              </w:rPr>
              <w:t>290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738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682</w:t>
            </w:r>
          </w:p>
        </w:tc>
        <w:tc>
          <w:tcPr>
            <w:tcW w:w="493" w:type="pct"/>
            <w:tcBorders>
              <w:bottom w:val="single" w:sz="4" w:space="0" w:color="auto"/>
            </w:tcBorders>
            <w:shd w:val="clear" w:color="auto" w:fill="auto"/>
            <w:vAlign w:val="center"/>
          </w:tcPr>
          <w:p w14:paraId="22874971" w14:textId="5C63D7E5" w:rsidR="00320910" w:rsidRPr="00E84F7D" w:rsidRDefault="00320910" w:rsidP="008E6149">
            <w:pPr>
              <w:spacing w:after="0" w:line="240" w:lineRule="auto"/>
              <w:jc w:val="right"/>
              <w:rPr>
                <w:rFonts w:ascii="Calibri" w:hAnsi="Calibri" w:cs="Calibri"/>
                <w:color w:val="000000"/>
                <w:sz w:val="18"/>
                <w:szCs w:val="18"/>
                <w:lang w:val="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89</w:t>
            </w:r>
          </w:p>
        </w:tc>
        <w:tc>
          <w:tcPr>
            <w:tcW w:w="465" w:type="pct"/>
            <w:tcBorders>
              <w:bottom w:val="single" w:sz="4" w:space="0" w:color="auto"/>
            </w:tcBorders>
            <w:vAlign w:val="bottom"/>
          </w:tcPr>
          <w:p w14:paraId="3B193D1B" w14:textId="396DD7D6" w:rsidR="00320910" w:rsidRPr="00E84F7D" w:rsidRDefault="00320910" w:rsidP="008E6149">
            <w:pPr>
              <w:spacing w:after="0" w:line="240" w:lineRule="auto"/>
              <w:jc w:val="right"/>
              <w:rPr>
                <w:rFonts w:ascii="Calibri" w:hAnsi="Calibri" w:cs="Calibri"/>
                <w:color w:val="000000"/>
                <w:sz w:val="18"/>
                <w:szCs w:val="18"/>
                <w:lang w:val="it-IT"/>
              </w:rPr>
            </w:pPr>
            <w:r w:rsidRPr="00E84F7D">
              <w:rPr>
                <w:rFonts w:ascii="Calibri" w:hAnsi="Calibri" w:cs="Calibri"/>
                <w:color w:val="000000"/>
                <w:sz w:val="18"/>
                <w:szCs w:val="18"/>
                <w:lang w:val="it-IT"/>
              </w:rPr>
              <w:t>30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417</w:t>
            </w:r>
          </w:p>
        </w:tc>
        <w:tc>
          <w:tcPr>
            <w:tcW w:w="627" w:type="pct"/>
            <w:tcBorders>
              <w:bottom w:val="single" w:sz="4" w:space="0" w:color="auto"/>
            </w:tcBorders>
            <w:vAlign w:val="bottom"/>
          </w:tcPr>
          <w:p w14:paraId="524A1278" w14:textId="55120D77" w:rsidR="00320910" w:rsidRPr="00E84F7D" w:rsidRDefault="00320910" w:rsidP="008E6149">
            <w:pPr>
              <w:spacing w:after="0" w:line="240" w:lineRule="auto"/>
              <w:jc w:val="right"/>
              <w:rPr>
                <w:rFonts w:ascii="Calibri" w:hAnsi="Calibri" w:cs="Calibri"/>
                <w:color w:val="000000"/>
                <w:sz w:val="18"/>
                <w:szCs w:val="18"/>
                <w:lang w:val="it-IT"/>
              </w:rPr>
            </w:pPr>
            <w:r w:rsidRPr="00E84F7D">
              <w:rPr>
                <w:rFonts w:ascii="Calibri" w:hAnsi="Calibri" w:cs="Calibri"/>
                <w:color w:val="000000"/>
                <w:sz w:val="18"/>
                <w:szCs w:val="18"/>
                <w:lang w:val="it-IT"/>
              </w:rPr>
              <w:t>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171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949</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308</w:t>
            </w:r>
          </w:p>
        </w:tc>
        <w:tc>
          <w:tcPr>
            <w:tcW w:w="501" w:type="pct"/>
            <w:tcBorders>
              <w:bottom w:val="single" w:sz="4" w:space="0" w:color="auto"/>
            </w:tcBorders>
            <w:vAlign w:val="center"/>
          </w:tcPr>
          <w:p w14:paraId="7EB36161" w14:textId="5CE97A0B" w:rsidR="00320910" w:rsidRPr="00E84F7D" w:rsidRDefault="00320910" w:rsidP="008E6149">
            <w:pPr>
              <w:spacing w:after="0" w:line="240" w:lineRule="auto"/>
              <w:jc w:val="right"/>
              <w:rPr>
                <w:rFonts w:ascii="Calibri" w:hAnsi="Calibri" w:cs="Calibri"/>
                <w:color w:val="000000"/>
                <w:sz w:val="18"/>
                <w:szCs w:val="18"/>
                <w:lang w:val="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26</w:t>
            </w:r>
          </w:p>
        </w:tc>
      </w:tr>
    </w:tbl>
    <w:p w14:paraId="50172F2F" w14:textId="02E7970E" w:rsidR="00320910" w:rsidRPr="00E84F7D" w:rsidRDefault="00320910" w:rsidP="00320910">
      <w:pPr>
        <w:pStyle w:val="Testonotadichiusura"/>
        <w:spacing w:before="40"/>
        <w:ind w:left="360"/>
        <w:rPr>
          <w:rFonts w:eastAsia="Times New Roman" w:cstheme="minorHAnsi"/>
          <w:bCs/>
          <w:color w:val="000000" w:themeColor="text1"/>
          <w:sz w:val="18"/>
          <w:szCs w:val="18"/>
          <w:lang w:eastAsia="it-IT"/>
        </w:rPr>
      </w:pPr>
      <w:r w:rsidRPr="00E84F7D">
        <w:rPr>
          <w:rFonts w:cstheme="minorHAnsi"/>
          <w:iCs/>
          <w:color w:val="000000" w:themeColor="text1"/>
        </w:rPr>
        <w:t>*</w:t>
      </w:r>
      <w:r w:rsidRPr="00E84F7D">
        <w:rPr>
          <w:rFonts w:eastAsia="Times New Roman" w:cstheme="minorHAnsi"/>
          <w:bCs/>
          <w:color w:val="000000" w:themeColor="text1"/>
          <w:sz w:val="18"/>
          <w:szCs w:val="18"/>
          <w:lang w:eastAsia="it-IT"/>
        </w:rPr>
        <w:t>numero</w:t>
      </w:r>
      <w:r>
        <w:rPr>
          <w:rFonts w:eastAsia="Times New Roman" w:cstheme="minorHAnsi"/>
          <w:bCs/>
          <w:color w:val="000000" w:themeColor="text1"/>
          <w:sz w:val="18"/>
          <w:szCs w:val="18"/>
          <w:lang w:eastAsia="it-IT"/>
        </w:rPr>
        <w:t xml:space="preserve"> di</w:t>
      </w:r>
      <w:r w:rsidRPr="00E84F7D">
        <w:rPr>
          <w:rFonts w:eastAsia="Times New Roman" w:cstheme="minorHAnsi"/>
          <w:bCs/>
          <w:color w:val="000000" w:themeColor="text1"/>
          <w:sz w:val="18"/>
          <w:szCs w:val="18"/>
          <w:lang w:eastAsia="it-IT"/>
        </w:rPr>
        <w:t xml:space="preserve"> diagnosi</w:t>
      </w:r>
      <w:r>
        <w:rPr>
          <w:rFonts w:eastAsia="Times New Roman" w:cstheme="minorHAnsi"/>
          <w:bCs/>
          <w:color w:val="000000" w:themeColor="text1"/>
          <w:sz w:val="18"/>
          <w:szCs w:val="18"/>
          <w:lang w:eastAsia="it-IT"/>
        </w:rPr>
        <w:t xml:space="preserve"> COVID-19</w:t>
      </w:r>
      <w:r w:rsidRPr="00E84F7D">
        <w:rPr>
          <w:rFonts w:eastAsia="Times New Roman" w:cstheme="minorHAnsi"/>
          <w:bCs/>
          <w:color w:val="000000" w:themeColor="text1"/>
          <w:sz w:val="18"/>
          <w:szCs w:val="18"/>
          <w:lang w:eastAsia="it-IT"/>
        </w:rPr>
        <w:t>/giorni</w:t>
      </w:r>
      <w:r w:rsidR="002A1FBD">
        <w:rPr>
          <w:rFonts w:eastAsia="Times New Roman" w:cstheme="minorHAnsi"/>
          <w:bCs/>
          <w:color w:val="000000" w:themeColor="text1"/>
          <w:sz w:val="18"/>
          <w:szCs w:val="18"/>
          <w:lang w:eastAsia="it-IT"/>
        </w:rPr>
        <w:t xml:space="preserve"> </w:t>
      </w:r>
      <w:r w:rsidRPr="00E84F7D">
        <w:rPr>
          <w:rFonts w:eastAsia="Times New Roman" w:cstheme="minorHAnsi"/>
          <w:bCs/>
          <w:color w:val="000000" w:themeColor="text1"/>
          <w:sz w:val="18"/>
          <w:szCs w:val="18"/>
          <w:lang w:eastAsia="it-IT"/>
        </w:rPr>
        <w:t>persona</w:t>
      </w:r>
    </w:p>
    <w:p w14:paraId="2479F60B" w14:textId="77777777" w:rsidR="00320910" w:rsidRPr="00E84F7D" w:rsidRDefault="00320910" w:rsidP="00320910">
      <w:pPr>
        <w:rPr>
          <w:rFonts w:eastAsiaTheme="minorEastAsia" w:cstheme="minorHAnsi"/>
          <w:b/>
          <w:color w:val="000000" w:themeColor="text1"/>
          <w:lang w:val="it-IT" w:eastAsia="da-DK"/>
        </w:rPr>
      </w:pPr>
      <w:r w:rsidRPr="00E84F7D">
        <w:rPr>
          <w:rFonts w:cstheme="minorHAnsi"/>
          <w:b/>
          <w:color w:val="000000" w:themeColor="text1"/>
          <w:lang w:val="it-IT" w:eastAsia="da-DK"/>
        </w:rPr>
        <w:br w:type="page"/>
      </w:r>
    </w:p>
    <w:p w14:paraId="75E0C0E9" w14:textId="765A0BFD" w:rsidR="00320910" w:rsidRPr="00E84F7D" w:rsidRDefault="00320910" w:rsidP="00320910">
      <w:pPr>
        <w:pStyle w:val="NormaleWeb"/>
        <w:spacing w:after="60"/>
        <w:jc w:val="both"/>
        <w:rPr>
          <w:rFonts w:asciiTheme="minorHAnsi" w:hAnsiTheme="minorHAnsi" w:cstheme="minorHAnsi"/>
          <w:color w:val="000000" w:themeColor="text1"/>
          <w:sz w:val="22"/>
          <w:lang w:eastAsia="da-DK"/>
        </w:rPr>
      </w:pPr>
      <w:r w:rsidRPr="00E84F7D">
        <w:rPr>
          <w:rFonts w:asciiTheme="minorHAnsi" w:hAnsiTheme="minorHAnsi" w:cstheme="minorHAnsi"/>
          <w:b/>
          <w:color w:val="000000" w:themeColor="text1"/>
          <w:sz w:val="22"/>
          <w:szCs w:val="22"/>
          <w:lang w:eastAsia="da-DK"/>
        </w:rPr>
        <w:lastRenderedPageBreak/>
        <w:t xml:space="preserve">Tabella </w:t>
      </w:r>
      <w:r>
        <w:rPr>
          <w:rFonts w:asciiTheme="minorHAnsi" w:hAnsiTheme="minorHAnsi" w:cstheme="minorHAnsi"/>
          <w:b/>
          <w:color w:val="000000" w:themeColor="text1"/>
          <w:sz w:val="22"/>
          <w:szCs w:val="22"/>
          <w:lang w:eastAsia="da-DK"/>
        </w:rPr>
        <w:t>2</w:t>
      </w:r>
      <w:r w:rsidRPr="00E84F7D">
        <w:rPr>
          <w:rFonts w:asciiTheme="minorHAnsi" w:hAnsiTheme="minorHAnsi" w:cstheme="minorHAnsi"/>
          <w:b/>
          <w:color w:val="000000" w:themeColor="text1"/>
          <w:sz w:val="22"/>
          <w:szCs w:val="22"/>
          <w:lang w:eastAsia="da-DK"/>
        </w:rPr>
        <w:t xml:space="preserve">. </w:t>
      </w:r>
      <w:r w:rsidRPr="00E84F7D">
        <w:rPr>
          <w:rFonts w:asciiTheme="minorHAnsi" w:hAnsiTheme="minorHAnsi" w:cstheme="minorHAnsi"/>
          <w:color w:val="000000" w:themeColor="text1"/>
          <w:sz w:val="22"/>
          <w:szCs w:val="22"/>
          <w:lang w:eastAsia="da-DK"/>
        </w:rPr>
        <w:t>Incidenza di ricovero</w:t>
      </w:r>
      <w:r w:rsidR="00EA6170">
        <w:rPr>
          <w:rFonts w:asciiTheme="minorHAnsi" w:hAnsiTheme="minorHAnsi" w:cstheme="minorHAnsi"/>
          <w:color w:val="000000" w:themeColor="text1"/>
          <w:sz w:val="22"/>
          <w:szCs w:val="22"/>
          <w:lang w:eastAsia="da-DK"/>
        </w:rPr>
        <w:t xml:space="preserve"> successivo a diagnosi di COVID-19</w:t>
      </w:r>
      <w:r w:rsidRPr="00E84F7D">
        <w:rPr>
          <w:rFonts w:asciiTheme="minorHAnsi" w:hAnsiTheme="minorHAnsi" w:cstheme="minorHAnsi"/>
          <w:color w:val="000000" w:themeColor="text1"/>
          <w:sz w:val="22"/>
          <w:szCs w:val="22"/>
          <w:lang w:eastAsia="da-DK"/>
        </w:rPr>
        <w:t xml:space="preserve"> in persone vaccinate</w:t>
      </w:r>
      <w:r>
        <w:rPr>
          <w:rFonts w:asciiTheme="minorHAnsi" w:hAnsiTheme="minorHAnsi" w:cstheme="minorHAnsi"/>
          <w:color w:val="000000" w:themeColor="text1"/>
          <w:sz w:val="22"/>
          <w:szCs w:val="22"/>
          <w:lang w:eastAsia="da-DK"/>
        </w:rPr>
        <w:t xml:space="preserve"> con i vaccini Cominarty o Spikevax</w:t>
      </w:r>
      <w:r w:rsidRPr="00E84F7D">
        <w:rPr>
          <w:rFonts w:asciiTheme="minorHAnsi" w:hAnsiTheme="minorHAnsi" w:cstheme="minorHAnsi"/>
          <w:color w:val="000000" w:themeColor="text1"/>
          <w:sz w:val="22"/>
          <w:szCs w:val="22"/>
          <w:lang w:eastAsia="da-DK"/>
        </w:rPr>
        <w:t xml:space="preserve"> prima del </w:t>
      </w:r>
      <w:r>
        <w:rPr>
          <w:rFonts w:asciiTheme="minorHAnsi" w:hAnsiTheme="minorHAnsi" w:cstheme="minorHAnsi"/>
          <w:color w:val="000000" w:themeColor="text1"/>
          <w:sz w:val="22"/>
          <w:szCs w:val="22"/>
          <w:lang w:eastAsia="da-DK"/>
        </w:rPr>
        <w:t>18 luglio</w:t>
      </w:r>
      <w:r w:rsidRPr="00E84F7D">
        <w:rPr>
          <w:rFonts w:asciiTheme="minorHAnsi" w:hAnsiTheme="minorHAnsi" w:cstheme="minorHAnsi"/>
          <w:color w:val="000000" w:themeColor="text1"/>
          <w:sz w:val="22"/>
          <w:szCs w:val="22"/>
          <w:lang w:eastAsia="da-DK"/>
        </w:rPr>
        <w:t xml:space="preserve"> 2021</w:t>
      </w:r>
      <w:r>
        <w:rPr>
          <w:rFonts w:asciiTheme="minorHAnsi" w:hAnsiTheme="minorHAnsi" w:cstheme="minorHAnsi"/>
          <w:color w:val="000000" w:themeColor="text1"/>
          <w:sz w:val="22"/>
          <w:szCs w:val="22"/>
          <w:lang w:eastAsia="da-DK"/>
        </w:rPr>
        <w:t xml:space="preserve"> </w:t>
      </w:r>
    </w:p>
    <w:tbl>
      <w:tblP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9"/>
        <w:gridCol w:w="1331"/>
        <w:gridCol w:w="1956"/>
        <w:gridCol w:w="1442"/>
        <w:gridCol w:w="1331"/>
        <w:gridCol w:w="1781"/>
        <w:gridCol w:w="1442"/>
      </w:tblGrid>
      <w:tr w:rsidR="00320910" w:rsidRPr="00A227B4" w14:paraId="0D65C7FB" w14:textId="77777777" w:rsidTr="008E6149">
        <w:trPr>
          <w:trHeight w:val="242"/>
        </w:trPr>
        <w:tc>
          <w:tcPr>
            <w:tcW w:w="1659" w:type="pct"/>
            <w:tcBorders>
              <w:bottom w:val="nil"/>
            </w:tcBorders>
            <w:shd w:val="clear" w:color="auto" w:fill="D9D9D9" w:themeFill="background1" w:themeFillShade="D9"/>
            <w:noWrap/>
            <w:vAlign w:val="center"/>
          </w:tcPr>
          <w:p w14:paraId="4A559E55" w14:textId="77777777" w:rsidR="00320910" w:rsidRPr="00E84F7D" w:rsidRDefault="00320910" w:rsidP="008E6149">
            <w:pPr>
              <w:spacing w:after="0" w:line="240" w:lineRule="auto"/>
              <w:rPr>
                <w:rFonts w:eastAsia="Times New Roman" w:cstheme="minorHAnsi"/>
                <w:b/>
                <w:bCs/>
                <w:color w:val="000000" w:themeColor="text1"/>
                <w:sz w:val="18"/>
                <w:szCs w:val="18"/>
                <w:lang w:val="it-IT" w:eastAsia="it-IT"/>
              </w:rPr>
            </w:pPr>
          </w:p>
        </w:tc>
        <w:tc>
          <w:tcPr>
            <w:tcW w:w="1702" w:type="pct"/>
            <w:gridSpan w:val="3"/>
            <w:tcBorders>
              <w:bottom w:val="single" w:sz="4" w:space="0" w:color="auto"/>
            </w:tcBorders>
            <w:shd w:val="clear" w:color="auto" w:fill="D9D9D9" w:themeFill="background1" w:themeFillShade="D9"/>
            <w:vAlign w:val="center"/>
          </w:tcPr>
          <w:p w14:paraId="51A80E1A"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0-14 giorni dalla somministrazione della 1° dose (riferimento)</w:t>
            </w:r>
          </w:p>
        </w:tc>
        <w:tc>
          <w:tcPr>
            <w:tcW w:w="1639" w:type="pct"/>
            <w:gridSpan w:val="3"/>
            <w:tcBorders>
              <w:bottom w:val="single" w:sz="4" w:space="0" w:color="auto"/>
            </w:tcBorders>
            <w:shd w:val="clear" w:color="auto" w:fill="D9D9D9" w:themeFill="background1" w:themeFillShade="D9"/>
          </w:tcPr>
          <w:p w14:paraId="3731D283"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0+ giorni dalla somministrazione della 2° dose</w:t>
            </w:r>
          </w:p>
        </w:tc>
      </w:tr>
      <w:tr w:rsidR="00320910" w:rsidRPr="00E84F7D" w14:paraId="4E50C425" w14:textId="77777777" w:rsidTr="008E6149">
        <w:trPr>
          <w:trHeight w:val="242"/>
        </w:trPr>
        <w:tc>
          <w:tcPr>
            <w:tcW w:w="1659" w:type="pct"/>
            <w:tcBorders>
              <w:top w:val="nil"/>
              <w:bottom w:val="single" w:sz="4" w:space="0" w:color="auto"/>
            </w:tcBorders>
            <w:shd w:val="clear" w:color="auto" w:fill="D9D9D9" w:themeFill="background1" w:themeFillShade="D9"/>
            <w:noWrap/>
            <w:vAlign w:val="center"/>
          </w:tcPr>
          <w:p w14:paraId="14B59A3D" w14:textId="77777777" w:rsidR="00320910" w:rsidRPr="00E84F7D" w:rsidRDefault="00320910" w:rsidP="008E6149">
            <w:pPr>
              <w:spacing w:after="0" w:line="240" w:lineRule="auto"/>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Caratteristiche della popolazione in studio</w:t>
            </w:r>
          </w:p>
        </w:tc>
        <w:tc>
          <w:tcPr>
            <w:tcW w:w="479" w:type="pct"/>
            <w:tcBorders>
              <w:bottom w:val="single" w:sz="4" w:space="0" w:color="auto"/>
            </w:tcBorders>
            <w:shd w:val="clear" w:color="auto" w:fill="D9D9D9" w:themeFill="background1" w:themeFillShade="D9"/>
            <w:vAlign w:val="center"/>
          </w:tcPr>
          <w:p w14:paraId="15EAD687" w14:textId="77777777" w:rsidR="00320910" w:rsidRPr="00E84F7D" w:rsidRDefault="00320910" w:rsidP="008E6149">
            <w:pPr>
              <w:spacing w:after="0" w:line="240" w:lineRule="auto"/>
              <w:jc w:val="right"/>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Ricoveri</w:t>
            </w:r>
          </w:p>
        </w:tc>
        <w:tc>
          <w:tcPr>
            <w:tcW w:w="704" w:type="pct"/>
            <w:tcBorders>
              <w:bottom w:val="single" w:sz="4" w:space="0" w:color="auto"/>
            </w:tcBorders>
            <w:shd w:val="clear" w:color="auto" w:fill="D9D9D9" w:themeFill="background1" w:themeFillShade="D9"/>
            <w:vAlign w:val="center"/>
          </w:tcPr>
          <w:p w14:paraId="6D34ADA4" w14:textId="099AA265" w:rsidR="00320910" w:rsidRPr="00E84F7D" w:rsidRDefault="00320910" w:rsidP="008E6149">
            <w:pPr>
              <w:spacing w:after="0" w:line="240" w:lineRule="auto"/>
              <w:jc w:val="right"/>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Giorni</w:t>
            </w:r>
            <w:r w:rsidR="002A1FBD">
              <w:rPr>
                <w:rFonts w:eastAsia="Times New Roman" w:cstheme="minorHAnsi"/>
                <w:b/>
                <w:bCs/>
                <w:color w:val="000000" w:themeColor="text1"/>
                <w:sz w:val="18"/>
                <w:szCs w:val="18"/>
                <w:lang w:val="it-IT" w:eastAsia="it-IT"/>
              </w:rPr>
              <w:t xml:space="preserve"> </w:t>
            </w:r>
            <w:r w:rsidRPr="00E84F7D">
              <w:rPr>
                <w:rFonts w:eastAsia="Times New Roman" w:cstheme="minorHAnsi"/>
                <w:b/>
                <w:bCs/>
                <w:color w:val="000000" w:themeColor="text1"/>
                <w:sz w:val="18"/>
                <w:szCs w:val="18"/>
                <w:lang w:val="it-IT" w:eastAsia="it-IT"/>
              </w:rPr>
              <w:t>persona</w:t>
            </w:r>
          </w:p>
        </w:tc>
        <w:tc>
          <w:tcPr>
            <w:tcW w:w="519" w:type="pct"/>
            <w:tcBorders>
              <w:bottom w:val="single" w:sz="4" w:space="0" w:color="auto"/>
            </w:tcBorders>
            <w:shd w:val="clear" w:color="auto" w:fill="D9D9D9" w:themeFill="background1" w:themeFillShade="D9"/>
          </w:tcPr>
          <w:p w14:paraId="18F65A0D" w14:textId="77777777" w:rsidR="00320910" w:rsidRPr="00E84F7D" w:rsidRDefault="00320910" w:rsidP="008E6149">
            <w:pPr>
              <w:spacing w:after="0" w:line="240" w:lineRule="auto"/>
              <w:jc w:val="right"/>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Incidenza</w:t>
            </w:r>
          </w:p>
          <w:p w14:paraId="3DE966BC" w14:textId="77777777" w:rsidR="00320910" w:rsidRPr="00E84F7D" w:rsidRDefault="00320910" w:rsidP="008E6149">
            <w:pPr>
              <w:spacing w:after="0" w:line="240" w:lineRule="auto"/>
              <w:jc w:val="right"/>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per 10.000 giorni persona*</w:t>
            </w:r>
          </w:p>
        </w:tc>
        <w:tc>
          <w:tcPr>
            <w:tcW w:w="479" w:type="pct"/>
            <w:tcBorders>
              <w:bottom w:val="single" w:sz="4" w:space="0" w:color="auto"/>
            </w:tcBorders>
            <w:shd w:val="clear" w:color="auto" w:fill="D9D9D9" w:themeFill="background1" w:themeFillShade="D9"/>
            <w:vAlign w:val="center"/>
          </w:tcPr>
          <w:p w14:paraId="3E17151C" w14:textId="77777777" w:rsidR="00320910" w:rsidRPr="00E84F7D" w:rsidRDefault="00320910" w:rsidP="008E6149">
            <w:pPr>
              <w:spacing w:after="0" w:line="240" w:lineRule="auto"/>
              <w:jc w:val="right"/>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Ricoveri</w:t>
            </w:r>
          </w:p>
        </w:tc>
        <w:tc>
          <w:tcPr>
            <w:tcW w:w="641" w:type="pct"/>
            <w:tcBorders>
              <w:bottom w:val="single" w:sz="4" w:space="0" w:color="auto"/>
            </w:tcBorders>
            <w:shd w:val="clear" w:color="auto" w:fill="D9D9D9" w:themeFill="background1" w:themeFillShade="D9"/>
            <w:vAlign w:val="center"/>
          </w:tcPr>
          <w:p w14:paraId="1691B2B5" w14:textId="0C54B9EA" w:rsidR="00320910" w:rsidRPr="00E84F7D" w:rsidRDefault="00320910" w:rsidP="008E6149">
            <w:pPr>
              <w:spacing w:after="0" w:line="240" w:lineRule="auto"/>
              <w:jc w:val="right"/>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Giorni</w:t>
            </w:r>
            <w:r w:rsidR="002A1FBD">
              <w:rPr>
                <w:rFonts w:eastAsia="Times New Roman" w:cstheme="minorHAnsi"/>
                <w:b/>
                <w:bCs/>
                <w:color w:val="000000" w:themeColor="text1"/>
                <w:sz w:val="18"/>
                <w:szCs w:val="18"/>
                <w:lang w:val="it-IT" w:eastAsia="it-IT"/>
              </w:rPr>
              <w:t xml:space="preserve"> </w:t>
            </w:r>
            <w:r w:rsidRPr="00E84F7D">
              <w:rPr>
                <w:rFonts w:eastAsia="Times New Roman" w:cstheme="minorHAnsi"/>
                <w:b/>
                <w:bCs/>
                <w:color w:val="000000" w:themeColor="text1"/>
                <w:sz w:val="18"/>
                <w:szCs w:val="18"/>
                <w:lang w:val="it-IT" w:eastAsia="it-IT"/>
              </w:rPr>
              <w:t>persona</w:t>
            </w:r>
          </w:p>
        </w:tc>
        <w:tc>
          <w:tcPr>
            <w:tcW w:w="519" w:type="pct"/>
            <w:tcBorders>
              <w:bottom w:val="single" w:sz="4" w:space="0" w:color="auto"/>
            </w:tcBorders>
            <w:shd w:val="clear" w:color="auto" w:fill="D9D9D9" w:themeFill="background1" w:themeFillShade="D9"/>
          </w:tcPr>
          <w:p w14:paraId="6E8193EE" w14:textId="77777777" w:rsidR="00320910" w:rsidRPr="00E84F7D" w:rsidRDefault="00320910" w:rsidP="008E6149">
            <w:pPr>
              <w:spacing w:after="0" w:line="240" w:lineRule="auto"/>
              <w:jc w:val="right"/>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Incidenza</w:t>
            </w:r>
          </w:p>
          <w:p w14:paraId="7C150AEB" w14:textId="77777777" w:rsidR="00320910" w:rsidRPr="00E84F7D" w:rsidRDefault="00320910" w:rsidP="008E6149">
            <w:pPr>
              <w:spacing w:after="0" w:line="240" w:lineRule="auto"/>
              <w:jc w:val="right"/>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per 10.000 giorni persona*</w:t>
            </w:r>
          </w:p>
        </w:tc>
      </w:tr>
      <w:tr w:rsidR="00320910" w:rsidRPr="00E84F7D" w14:paraId="5FB89F10" w14:textId="77777777" w:rsidTr="008E6149">
        <w:trPr>
          <w:trHeight w:val="242"/>
        </w:trPr>
        <w:tc>
          <w:tcPr>
            <w:tcW w:w="1659" w:type="pct"/>
            <w:tcBorders>
              <w:bottom w:val="single" w:sz="4" w:space="0" w:color="auto"/>
            </w:tcBorders>
            <w:shd w:val="clear" w:color="auto" w:fill="auto"/>
            <w:noWrap/>
            <w:vAlign w:val="center"/>
          </w:tcPr>
          <w:p w14:paraId="0B819324" w14:textId="77777777" w:rsidR="00320910" w:rsidRPr="00E84F7D" w:rsidRDefault="00320910" w:rsidP="008E6149">
            <w:pPr>
              <w:spacing w:after="0" w:line="240" w:lineRule="auto"/>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Totale</w:t>
            </w:r>
          </w:p>
        </w:tc>
        <w:tc>
          <w:tcPr>
            <w:tcW w:w="479" w:type="pct"/>
            <w:tcBorders>
              <w:bottom w:val="single" w:sz="4" w:space="0" w:color="auto"/>
            </w:tcBorders>
            <w:shd w:val="clear" w:color="auto" w:fill="auto"/>
            <w:vAlign w:val="center"/>
          </w:tcPr>
          <w:p w14:paraId="04F67B70" w14:textId="4E03BB7B"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117</w:t>
            </w:r>
          </w:p>
        </w:tc>
        <w:tc>
          <w:tcPr>
            <w:tcW w:w="704" w:type="pct"/>
            <w:tcBorders>
              <w:bottom w:val="single" w:sz="4" w:space="0" w:color="auto"/>
            </w:tcBorders>
            <w:shd w:val="clear" w:color="auto" w:fill="auto"/>
            <w:vAlign w:val="center"/>
          </w:tcPr>
          <w:p w14:paraId="7EEA235E" w14:textId="0B91410B"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366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742</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232</w:t>
            </w:r>
          </w:p>
        </w:tc>
        <w:tc>
          <w:tcPr>
            <w:tcW w:w="519" w:type="pct"/>
            <w:tcBorders>
              <w:bottom w:val="single" w:sz="4" w:space="0" w:color="auto"/>
            </w:tcBorders>
            <w:shd w:val="clear" w:color="auto" w:fill="auto"/>
            <w:vAlign w:val="center"/>
          </w:tcPr>
          <w:p w14:paraId="775BC960" w14:textId="7E0019BE"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17</w:t>
            </w:r>
          </w:p>
        </w:tc>
        <w:tc>
          <w:tcPr>
            <w:tcW w:w="479" w:type="pct"/>
            <w:tcBorders>
              <w:bottom w:val="single" w:sz="4" w:space="0" w:color="auto"/>
            </w:tcBorders>
            <w:vAlign w:val="center"/>
          </w:tcPr>
          <w:p w14:paraId="17496E60" w14:textId="0DB4F581"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893</w:t>
            </w:r>
          </w:p>
        </w:tc>
        <w:tc>
          <w:tcPr>
            <w:tcW w:w="641" w:type="pct"/>
            <w:tcBorders>
              <w:bottom w:val="single" w:sz="4" w:space="0" w:color="auto"/>
            </w:tcBorders>
            <w:vAlign w:val="center"/>
          </w:tcPr>
          <w:p w14:paraId="771C0E25" w14:textId="024E8039"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351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960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496</w:t>
            </w:r>
          </w:p>
        </w:tc>
        <w:tc>
          <w:tcPr>
            <w:tcW w:w="519" w:type="pct"/>
            <w:tcBorders>
              <w:bottom w:val="single" w:sz="4" w:space="0" w:color="auto"/>
            </w:tcBorders>
            <w:vAlign w:val="center"/>
          </w:tcPr>
          <w:p w14:paraId="0A57A744" w14:textId="73E1355C"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02</w:t>
            </w:r>
          </w:p>
        </w:tc>
      </w:tr>
      <w:tr w:rsidR="00320910" w:rsidRPr="00E84F7D" w14:paraId="5FDACD70" w14:textId="77777777" w:rsidTr="008E6149">
        <w:trPr>
          <w:trHeight w:val="242"/>
        </w:trPr>
        <w:tc>
          <w:tcPr>
            <w:tcW w:w="1659" w:type="pct"/>
            <w:shd w:val="clear" w:color="auto" w:fill="auto"/>
            <w:noWrap/>
            <w:vAlign w:val="center"/>
          </w:tcPr>
          <w:p w14:paraId="48BB0DF7" w14:textId="77777777" w:rsidR="00320910" w:rsidRPr="00E84F7D" w:rsidRDefault="00320910" w:rsidP="008E6149">
            <w:pPr>
              <w:spacing w:after="0" w:line="240" w:lineRule="auto"/>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Classe di età (anni)</w:t>
            </w:r>
          </w:p>
        </w:tc>
        <w:tc>
          <w:tcPr>
            <w:tcW w:w="479" w:type="pct"/>
            <w:shd w:val="clear" w:color="auto" w:fill="auto"/>
            <w:vAlign w:val="center"/>
          </w:tcPr>
          <w:p w14:paraId="4B139ED0"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b/>
                <w:bCs/>
                <w:color w:val="000000"/>
                <w:sz w:val="18"/>
                <w:szCs w:val="18"/>
                <w:lang w:val="it-IT"/>
              </w:rPr>
              <w:t> </w:t>
            </w:r>
          </w:p>
        </w:tc>
        <w:tc>
          <w:tcPr>
            <w:tcW w:w="704" w:type="pct"/>
            <w:shd w:val="clear" w:color="auto" w:fill="auto"/>
            <w:vAlign w:val="center"/>
          </w:tcPr>
          <w:p w14:paraId="4AC0627C"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b/>
                <w:bCs/>
                <w:color w:val="000000"/>
                <w:sz w:val="18"/>
                <w:szCs w:val="18"/>
                <w:lang w:val="it-IT"/>
              </w:rPr>
              <w:t> </w:t>
            </w:r>
          </w:p>
        </w:tc>
        <w:tc>
          <w:tcPr>
            <w:tcW w:w="519" w:type="pct"/>
            <w:shd w:val="clear" w:color="auto" w:fill="auto"/>
            <w:vAlign w:val="center"/>
          </w:tcPr>
          <w:p w14:paraId="518F0F7B" w14:textId="77777777" w:rsidR="00320910" w:rsidRPr="00E84F7D" w:rsidRDefault="00320910" w:rsidP="008E6149">
            <w:pPr>
              <w:spacing w:after="0" w:line="240" w:lineRule="auto"/>
              <w:ind w:right="637"/>
              <w:jc w:val="center"/>
              <w:rPr>
                <w:rFonts w:eastAsia="Times New Roman" w:cstheme="minorHAnsi"/>
                <w:b/>
                <w:bCs/>
                <w:color w:val="000000" w:themeColor="text1"/>
                <w:sz w:val="18"/>
                <w:szCs w:val="18"/>
                <w:lang w:val="it-IT" w:eastAsia="it-IT"/>
              </w:rPr>
            </w:pPr>
            <w:r w:rsidRPr="00E84F7D">
              <w:rPr>
                <w:rFonts w:ascii="Calibri" w:hAnsi="Calibri" w:cs="Calibri"/>
                <w:b/>
                <w:bCs/>
                <w:color w:val="000000"/>
                <w:sz w:val="18"/>
                <w:szCs w:val="18"/>
                <w:lang w:val="it-IT"/>
              </w:rPr>
              <w:t> </w:t>
            </w:r>
          </w:p>
        </w:tc>
        <w:tc>
          <w:tcPr>
            <w:tcW w:w="479" w:type="pct"/>
            <w:vAlign w:val="center"/>
          </w:tcPr>
          <w:p w14:paraId="7851B2C1" w14:textId="77777777" w:rsidR="00320910" w:rsidRPr="00E84F7D" w:rsidRDefault="00320910" w:rsidP="008E6149">
            <w:pPr>
              <w:spacing w:after="0" w:line="240" w:lineRule="auto"/>
              <w:ind w:right="606"/>
              <w:jc w:val="center"/>
              <w:rPr>
                <w:rFonts w:eastAsia="Times New Roman" w:cstheme="minorHAnsi"/>
                <w:b/>
                <w:bCs/>
                <w:color w:val="000000" w:themeColor="text1"/>
                <w:sz w:val="18"/>
                <w:szCs w:val="18"/>
                <w:lang w:val="it-IT" w:eastAsia="it-IT"/>
              </w:rPr>
            </w:pPr>
            <w:r w:rsidRPr="00E84F7D">
              <w:rPr>
                <w:rFonts w:ascii="Calibri" w:hAnsi="Calibri" w:cs="Calibri"/>
                <w:b/>
                <w:bCs/>
                <w:color w:val="000000"/>
                <w:sz w:val="18"/>
                <w:szCs w:val="18"/>
                <w:lang w:val="it-IT"/>
              </w:rPr>
              <w:t> </w:t>
            </w:r>
          </w:p>
        </w:tc>
        <w:tc>
          <w:tcPr>
            <w:tcW w:w="641" w:type="pct"/>
            <w:vAlign w:val="center"/>
          </w:tcPr>
          <w:p w14:paraId="7143847B" w14:textId="77777777" w:rsidR="00320910" w:rsidRPr="00E84F7D" w:rsidRDefault="00320910" w:rsidP="008E6149">
            <w:pPr>
              <w:spacing w:after="0" w:line="240" w:lineRule="auto"/>
              <w:ind w:right="606"/>
              <w:jc w:val="center"/>
              <w:rPr>
                <w:rFonts w:eastAsia="Times New Roman" w:cstheme="minorHAnsi"/>
                <w:b/>
                <w:bCs/>
                <w:color w:val="000000" w:themeColor="text1"/>
                <w:sz w:val="18"/>
                <w:szCs w:val="18"/>
                <w:lang w:val="it-IT" w:eastAsia="it-IT"/>
              </w:rPr>
            </w:pPr>
            <w:r w:rsidRPr="00E84F7D">
              <w:rPr>
                <w:rFonts w:ascii="Calibri" w:hAnsi="Calibri" w:cs="Calibri"/>
                <w:b/>
                <w:bCs/>
                <w:color w:val="000000"/>
                <w:sz w:val="18"/>
                <w:szCs w:val="18"/>
                <w:lang w:val="it-IT"/>
              </w:rPr>
              <w:t> </w:t>
            </w:r>
          </w:p>
        </w:tc>
        <w:tc>
          <w:tcPr>
            <w:tcW w:w="519" w:type="pct"/>
            <w:vAlign w:val="center"/>
          </w:tcPr>
          <w:p w14:paraId="463E51F4" w14:textId="77777777" w:rsidR="00320910" w:rsidRPr="00E84F7D" w:rsidRDefault="00320910" w:rsidP="008E6149">
            <w:pPr>
              <w:spacing w:after="0" w:line="240" w:lineRule="auto"/>
              <w:ind w:right="606"/>
              <w:jc w:val="center"/>
              <w:rPr>
                <w:rFonts w:eastAsia="Times New Roman" w:cstheme="minorHAnsi"/>
                <w:b/>
                <w:bCs/>
                <w:color w:val="000000" w:themeColor="text1"/>
                <w:sz w:val="18"/>
                <w:szCs w:val="18"/>
                <w:lang w:val="it-IT" w:eastAsia="it-IT"/>
              </w:rPr>
            </w:pPr>
            <w:r w:rsidRPr="00E84F7D">
              <w:rPr>
                <w:rFonts w:ascii="Calibri" w:hAnsi="Calibri" w:cs="Calibri"/>
                <w:color w:val="000000"/>
                <w:sz w:val="18"/>
                <w:szCs w:val="18"/>
                <w:lang w:val="it-IT"/>
              </w:rPr>
              <w:t> </w:t>
            </w:r>
          </w:p>
        </w:tc>
      </w:tr>
      <w:tr w:rsidR="00320910" w:rsidRPr="00E84F7D" w14:paraId="6A9EC7DE" w14:textId="77777777" w:rsidTr="008E6149">
        <w:trPr>
          <w:trHeight w:val="242"/>
        </w:trPr>
        <w:tc>
          <w:tcPr>
            <w:tcW w:w="1659" w:type="pct"/>
            <w:shd w:val="clear" w:color="auto" w:fill="auto"/>
            <w:noWrap/>
            <w:vAlign w:val="center"/>
          </w:tcPr>
          <w:p w14:paraId="68082CAF" w14:textId="77777777" w:rsidR="00320910" w:rsidRPr="00E84F7D" w:rsidRDefault="00320910" w:rsidP="008E6149">
            <w:pPr>
              <w:spacing w:after="0" w:line="240" w:lineRule="auto"/>
              <w:ind w:left="209"/>
              <w:rPr>
                <w:rFonts w:eastAsia="Times New Roman" w:cstheme="minorHAnsi"/>
                <w:b/>
                <w:bCs/>
                <w:color w:val="000000" w:themeColor="text1"/>
                <w:sz w:val="18"/>
                <w:szCs w:val="18"/>
                <w:lang w:val="it-IT" w:eastAsia="it-IT"/>
              </w:rPr>
            </w:pPr>
            <w:r w:rsidRPr="00E84F7D">
              <w:rPr>
                <w:rFonts w:eastAsia="Times New Roman" w:cstheme="minorHAnsi"/>
                <w:color w:val="000000" w:themeColor="text1"/>
                <w:sz w:val="18"/>
                <w:szCs w:val="18"/>
                <w:lang w:val="it-IT" w:eastAsia="it-IT"/>
              </w:rPr>
              <w:t xml:space="preserve">&lt;40 </w:t>
            </w:r>
          </w:p>
        </w:tc>
        <w:tc>
          <w:tcPr>
            <w:tcW w:w="479" w:type="pct"/>
            <w:shd w:val="clear" w:color="auto" w:fill="auto"/>
            <w:vAlign w:val="center"/>
          </w:tcPr>
          <w:p w14:paraId="1CA71E1A"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168</w:t>
            </w:r>
          </w:p>
        </w:tc>
        <w:tc>
          <w:tcPr>
            <w:tcW w:w="704" w:type="pct"/>
            <w:shd w:val="clear" w:color="auto" w:fill="auto"/>
            <w:vAlign w:val="center"/>
          </w:tcPr>
          <w:p w14:paraId="523A8DD5" w14:textId="468B2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87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579</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371</w:t>
            </w:r>
          </w:p>
        </w:tc>
        <w:tc>
          <w:tcPr>
            <w:tcW w:w="519" w:type="pct"/>
            <w:shd w:val="clear" w:color="auto" w:fill="auto"/>
            <w:vAlign w:val="center"/>
          </w:tcPr>
          <w:p w14:paraId="2B5FFBAC" w14:textId="46E78CCA"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02</w:t>
            </w:r>
          </w:p>
        </w:tc>
        <w:tc>
          <w:tcPr>
            <w:tcW w:w="479" w:type="pct"/>
            <w:vAlign w:val="center"/>
          </w:tcPr>
          <w:p w14:paraId="1C46C06A"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76</w:t>
            </w:r>
          </w:p>
        </w:tc>
        <w:tc>
          <w:tcPr>
            <w:tcW w:w="641" w:type="pct"/>
            <w:vAlign w:val="center"/>
          </w:tcPr>
          <w:p w14:paraId="61506E8F" w14:textId="2C2E73A0"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164</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510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496</w:t>
            </w:r>
          </w:p>
        </w:tc>
        <w:tc>
          <w:tcPr>
            <w:tcW w:w="519" w:type="pct"/>
            <w:vAlign w:val="center"/>
          </w:tcPr>
          <w:p w14:paraId="65AE4BCC" w14:textId="35E92DA2"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005</w:t>
            </w:r>
          </w:p>
        </w:tc>
      </w:tr>
      <w:tr w:rsidR="00320910" w:rsidRPr="00E84F7D" w14:paraId="739ECD35" w14:textId="77777777" w:rsidTr="008E6149">
        <w:trPr>
          <w:trHeight w:val="242"/>
        </w:trPr>
        <w:tc>
          <w:tcPr>
            <w:tcW w:w="1659" w:type="pct"/>
            <w:shd w:val="clear" w:color="auto" w:fill="auto"/>
            <w:noWrap/>
            <w:vAlign w:val="center"/>
          </w:tcPr>
          <w:p w14:paraId="68668C07" w14:textId="77777777" w:rsidR="00320910" w:rsidRPr="00E84F7D" w:rsidRDefault="00320910" w:rsidP="008E6149">
            <w:pPr>
              <w:spacing w:after="0" w:line="240" w:lineRule="auto"/>
              <w:ind w:left="209"/>
              <w:rPr>
                <w:rFonts w:eastAsia="Times New Roman" w:cstheme="minorHAnsi"/>
                <w:b/>
                <w:bCs/>
                <w:color w:val="000000" w:themeColor="text1"/>
                <w:sz w:val="18"/>
                <w:szCs w:val="18"/>
                <w:lang w:val="it-IT" w:eastAsia="it-IT"/>
              </w:rPr>
            </w:pPr>
            <w:r w:rsidRPr="00E84F7D">
              <w:rPr>
                <w:rFonts w:eastAsia="Times New Roman" w:cstheme="minorHAnsi"/>
                <w:color w:val="000000" w:themeColor="text1"/>
                <w:sz w:val="18"/>
                <w:szCs w:val="18"/>
                <w:lang w:val="it-IT" w:eastAsia="it-IT"/>
              </w:rPr>
              <w:t>40-59</w:t>
            </w:r>
          </w:p>
        </w:tc>
        <w:tc>
          <w:tcPr>
            <w:tcW w:w="479" w:type="pct"/>
            <w:shd w:val="clear" w:color="auto" w:fill="auto"/>
            <w:vAlign w:val="center"/>
          </w:tcPr>
          <w:p w14:paraId="4116D677"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602</w:t>
            </w:r>
          </w:p>
        </w:tc>
        <w:tc>
          <w:tcPr>
            <w:tcW w:w="704" w:type="pct"/>
            <w:shd w:val="clear" w:color="auto" w:fill="auto"/>
            <w:vAlign w:val="center"/>
          </w:tcPr>
          <w:p w14:paraId="242E589E" w14:textId="295AEC54"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136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907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984</w:t>
            </w:r>
          </w:p>
        </w:tc>
        <w:tc>
          <w:tcPr>
            <w:tcW w:w="519" w:type="pct"/>
            <w:shd w:val="clear" w:color="auto" w:fill="auto"/>
            <w:vAlign w:val="center"/>
          </w:tcPr>
          <w:p w14:paraId="210A6085" w14:textId="706EC34D"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04</w:t>
            </w:r>
          </w:p>
        </w:tc>
        <w:tc>
          <w:tcPr>
            <w:tcW w:w="479" w:type="pct"/>
            <w:vAlign w:val="center"/>
          </w:tcPr>
          <w:p w14:paraId="26258DDC"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245</w:t>
            </w:r>
          </w:p>
        </w:tc>
        <w:tc>
          <w:tcPr>
            <w:tcW w:w="641" w:type="pct"/>
            <w:vAlign w:val="center"/>
          </w:tcPr>
          <w:p w14:paraId="09BFE59A" w14:textId="1C0E3131"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376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774</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565</w:t>
            </w:r>
          </w:p>
        </w:tc>
        <w:tc>
          <w:tcPr>
            <w:tcW w:w="519" w:type="pct"/>
            <w:vAlign w:val="center"/>
          </w:tcPr>
          <w:p w14:paraId="21D7ECA9" w14:textId="05CB82D5"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01</w:t>
            </w:r>
          </w:p>
        </w:tc>
      </w:tr>
      <w:tr w:rsidR="00320910" w:rsidRPr="00E84F7D" w14:paraId="7F36AAF8" w14:textId="77777777" w:rsidTr="008E6149">
        <w:trPr>
          <w:trHeight w:val="242"/>
        </w:trPr>
        <w:tc>
          <w:tcPr>
            <w:tcW w:w="1659" w:type="pct"/>
            <w:shd w:val="clear" w:color="auto" w:fill="auto"/>
            <w:noWrap/>
            <w:vAlign w:val="center"/>
          </w:tcPr>
          <w:p w14:paraId="2E3364D7" w14:textId="77777777" w:rsidR="00320910" w:rsidRPr="00E84F7D" w:rsidRDefault="00320910" w:rsidP="008E6149">
            <w:pPr>
              <w:spacing w:after="0" w:line="240" w:lineRule="auto"/>
              <w:ind w:left="209"/>
              <w:rPr>
                <w:rFonts w:eastAsia="Times New Roman" w:cstheme="minorHAnsi"/>
                <w:b/>
                <w:bCs/>
                <w:color w:val="000000" w:themeColor="text1"/>
                <w:sz w:val="18"/>
                <w:szCs w:val="18"/>
                <w:lang w:val="it-IT" w:eastAsia="it-IT"/>
              </w:rPr>
            </w:pPr>
            <w:r w:rsidRPr="00E84F7D">
              <w:rPr>
                <w:rFonts w:eastAsia="Times New Roman" w:cstheme="minorHAnsi"/>
                <w:color w:val="000000" w:themeColor="text1"/>
                <w:sz w:val="18"/>
                <w:szCs w:val="18"/>
                <w:lang w:val="it-IT" w:eastAsia="it-IT"/>
              </w:rPr>
              <w:t>60-79</w:t>
            </w:r>
          </w:p>
        </w:tc>
        <w:tc>
          <w:tcPr>
            <w:tcW w:w="479" w:type="pct"/>
            <w:shd w:val="clear" w:color="auto" w:fill="auto"/>
            <w:vAlign w:val="center"/>
          </w:tcPr>
          <w:p w14:paraId="04B045E1" w14:textId="51E468C5"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656</w:t>
            </w:r>
          </w:p>
        </w:tc>
        <w:tc>
          <w:tcPr>
            <w:tcW w:w="704" w:type="pct"/>
            <w:shd w:val="clear" w:color="auto" w:fill="auto"/>
            <w:vAlign w:val="center"/>
          </w:tcPr>
          <w:p w14:paraId="79757DEF" w14:textId="1C532BCD"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87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414</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832</w:t>
            </w:r>
          </w:p>
        </w:tc>
        <w:tc>
          <w:tcPr>
            <w:tcW w:w="519" w:type="pct"/>
            <w:shd w:val="clear" w:color="auto" w:fill="auto"/>
            <w:vAlign w:val="center"/>
          </w:tcPr>
          <w:p w14:paraId="2B6D38AE" w14:textId="209BB634"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19</w:t>
            </w:r>
          </w:p>
        </w:tc>
        <w:tc>
          <w:tcPr>
            <w:tcW w:w="479" w:type="pct"/>
            <w:vAlign w:val="center"/>
          </w:tcPr>
          <w:p w14:paraId="1824329F"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544</w:t>
            </w:r>
          </w:p>
        </w:tc>
        <w:tc>
          <w:tcPr>
            <w:tcW w:w="641" w:type="pct"/>
            <w:vAlign w:val="center"/>
          </w:tcPr>
          <w:p w14:paraId="3FB6B536" w14:textId="303469F5"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405</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128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037</w:t>
            </w:r>
          </w:p>
        </w:tc>
        <w:tc>
          <w:tcPr>
            <w:tcW w:w="519" w:type="pct"/>
            <w:vAlign w:val="center"/>
          </w:tcPr>
          <w:p w14:paraId="5F529BFA" w14:textId="646BF1CA"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01</w:t>
            </w:r>
          </w:p>
        </w:tc>
      </w:tr>
      <w:tr w:rsidR="00320910" w:rsidRPr="00E84F7D" w14:paraId="073A3C97" w14:textId="77777777" w:rsidTr="008E6149">
        <w:trPr>
          <w:trHeight w:val="242"/>
        </w:trPr>
        <w:tc>
          <w:tcPr>
            <w:tcW w:w="1659" w:type="pct"/>
            <w:shd w:val="clear" w:color="auto" w:fill="auto"/>
            <w:noWrap/>
            <w:vAlign w:val="center"/>
          </w:tcPr>
          <w:p w14:paraId="6F49F489" w14:textId="77777777" w:rsidR="00320910" w:rsidRPr="00E84F7D" w:rsidRDefault="00320910" w:rsidP="008E6149">
            <w:pPr>
              <w:spacing w:after="0" w:line="240" w:lineRule="auto"/>
              <w:ind w:left="209"/>
              <w:rPr>
                <w:rFonts w:eastAsia="Times New Roman" w:cstheme="minorHAnsi"/>
                <w:b/>
                <w:bCs/>
                <w:color w:val="000000" w:themeColor="text1"/>
                <w:sz w:val="18"/>
                <w:szCs w:val="18"/>
                <w:lang w:val="it-IT" w:eastAsia="it-IT"/>
              </w:rPr>
            </w:pPr>
            <w:r w:rsidRPr="00E84F7D">
              <w:rPr>
                <w:rFonts w:eastAsia="Times New Roman" w:cstheme="minorHAnsi"/>
                <w:color w:val="000000" w:themeColor="text1"/>
                <w:sz w:val="18"/>
                <w:szCs w:val="18"/>
                <w:lang w:val="it-IT" w:eastAsia="it-IT"/>
              </w:rPr>
              <w:t>≥80</w:t>
            </w:r>
          </w:p>
        </w:tc>
        <w:tc>
          <w:tcPr>
            <w:tcW w:w="479" w:type="pct"/>
            <w:shd w:val="clear" w:color="auto" w:fill="auto"/>
            <w:vAlign w:val="center"/>
          </w:tcPr>
          <w:p w14:paraId="03372322" w14:textId="5A738170"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3</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691</w:t>
            </w:r>
          </w:p>
        </w:tc>
        <w:tc>
          <w:tcPr>
            <w:tcW w:w="704" w:type="pct"/>
            <w:shd w:val="clear" w:color="auto" w:fill="auto"/>
            <w:vAlign w:val="center"/>
          </w:tcPr>
          <w:p w14:paraId="754B9076" w14:textId="45A36ECA"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54</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840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046</w:t>
            </w:r>
          </w:p>
        </w:tc>
        <w:tc>
          <w:tcPr>
            <w:tcW w:w="519" w:type="pct"/>
            <w:shd w:val="clear" w:color="auto" w:fill="auto"/>
            <w:vAlign w:val="center"/>
          </w:tcPr>
          <w:p w14:paraId="6EF1F926" w14:textId="596A0B15"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67</w:t>
            </w:r>
          </w:p>
        </w:tc>
        <w:tc>
          <w:tcPr>
            <w:tcW w:w="479" w:type="pct"/>
            <w:vAlign w:val="center"/>
          </w:tcPr>
          <w:p w14:paraId="53F02881" w14:textId="7354A718"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028</w:t>
            </w:r>
          </w:p>
        </w:tc>
        <w:tc>
          <w:tcPr>
            <w:tcW w:w="641" w:type="pct"/>
            <w:vAlign w:val="center"/>
          </w:tcPr>
          <w:p w14:paraId="3F4EC6E3" w14:textId="7123D0FD"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405</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547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398</w:t>
            </w:r>
          </w:p>
        </w:tc>
        <w:tc>
          <w:tcPr>
            <w:tcW w:w="519" w:type="pct"/>
            <w:vAlign w:val="center"/>
          </w:tcPr>
          <w:p w14:paraId="4C30CD21" w14:textId="39E14E8D"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05</w:t>
            </w:r>
          </w:p>
        </w:tc>
      </w:tr>
      <w:tr w:rsidR="00320910" w:rsidRPr="00E84F7D" w14:paraId="458C2FFE" w14:textId="77777777" w:rsidTr="008E6149">
        <w:trPr>
          <w:trHeight w:val="242"/>
        </w:trPr>
        <w:tc>
          <w:tcPr>
            <w:tcW w:w="1659" w:type="pct"/>
            <w:shd w:val="clear" w:color="auto" w:fill="auto"/>
            <w:noWrap/>
            <w:vAlign w:val="center"/>
          </w:tcPr>
          <w:p w14:paraId="603318E9" w14:textId="77777777" w:rsidR="00320910" w:rsidRPr="00E84F7D" w:rsidRDefault="00320910" w:rsidP="002A1FBD">
            <w:pPr>
              <w:spacing w:after="0" w:line="240" w:lineRule="auto"/>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Genere</w:t>
            </w:r>
          </w:p>
        </w:tc>
        <w:tc>
          <w:tcPr>
            <w:tcW w:w="479" w:type="pct"/>
            <w:shd w:val="clear" w:color="auto" w:fill="auto"/>
            <w:vAlign w:val="center"/>
          </w:tcPr>
          <w:p w14:paraId="234F9B5B"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 </w:t>
            </w:r>
          </w:p>
        </w:tc>
        <w:tc>
          <w:tcPr>
            <w:tcW w:w="704" w:type="pct"/>
            <w:shd w:val="clear" w:color="auto" w:fill="auto"/>
            <w:vAlign w:val="center"/>
          </w:tcPr>
          <w:p w14:paraId="4007BD70"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 </w:t>
            </w:r>
          </w:p>
        </w:tc>
        <w:tc>
          <w:tcPr>
            <w:tcW w:w="519" w:type="pct"/>
            <w:shd w:val="clear" w:color="auto" w:fill="auto"/>
            <w:vAlign w:val="center"/>
          </w:tcPr>
          <w:p w14:paraId="03FB4131"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 </w:t>
            </w:r>
          </w:p>
        </w:tc>
        <w:tc>
          <w:tcPr>
            <w:tcW w:w="479" w:type="pct"/>
            <w:vAlign w:val="center"/>
          </w:tcPr>
          <w:p w14:paraId="59009D90"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 </w:t>
            </w:r>
          </w:p>
        </w:tc>
        <w:tc>
          <w:tcPr>
            <w:tcW w:w="641" w:type="pct"/>
            <w:vAlign w:val="center"/>
          </w:tcPr>
          <w:p w14:paraId="07A96FF6"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 </w:t>
            </w:r>
          </w:p>
        </w:tc>
        <w:tc>
          <w:tcPr>
            <w:tcW w:w="519" w:type="pct"/>
            <w:vAlign w:val="center"/>
          </w:tcPr>
          <w:p w14:paraId="0A38F142"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 </w:t>
            </w:r>
          </w:p>
        </w:tc>
      </w:tr>
      <w:tr w:rsidR="00320910" w:rsidRPr="00E84F7D" w14:paraId="4A28AE1D" w14:textId="77777777" w:rsidTr="008E6149">
        <w:trPr>
          <w:trHeight w:val="242"/>
        </w:trPr>
        <w:tc>
          <w:tcPr>
            <w:tcW w:w="1659" w:type="pct"/>
            <w:shd w:val="clear" w:color="auto" w:fill="auto"/>
            <w:noWrap/>
            <w:vAlign w:val="center"/>
          </w:tcPr>
          <w:p w14:paraId="2E19F3E6"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Donne</w:t>
            </w:r>
          </w:p>
        </w:tc>
        <w:tc>
          <w:tcPr>
            <w:tcW w:w="479" w:type="pct"/>
            <w:shd w:val="clear" w:color="auto" w:fill="auto"/>
            <w:vAlign w:val="center"/>
          </w:tcPr>
          <w:p w14:paraId="34AE831D" w14:textId="2FD44EF2"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836</w:t>
            </w:r>
          </w:p>
        </w:tc>
        <w:tc>
          <w:tcPr>
            <w:tcW w:w="704" w:type="pct"/>
            <w:shd w:val="clear" w:color="auto" w:fill="auto"/>
            <w:vAlign w:val="center"/>
          </w:tcPr>
          <w:p w14:paraId="25E8D118" w14:textId="7D548E41"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193</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556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274</w:t>
            </w:r>
          </w:p>
        </w:tc>
        <w:tc>
          <w:tcPr>
            <w:tcW w:w="519" w:type="pct"/>
            <w:shd w:val="clear" w:color="auto" w:fill="auto"/>
            <w:vAlign w:val="center"/>
          </w:tcPr>
          <w:p w14:paraId="6FAA4C39" w14:textId="04076950"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15</w:t>
            </w:r>
          </w:p>
        </w:tc>
        <w:tc>
          <w:tcPr>
            <w:tcW w:w="479" w:type="pct"/>
            <w:vAlign w:val="center"/>
          </w:tcPr>
          <w:p w14:paraId="733B23FC" w14:textId="6F9A0601"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446</w:t>
            </w:r>
          </w:p>
        </w:tc>
        <w:tc>
          <w:tcPr>
            <w:tcW w:w="641" w:type="pct"/>
            <w:vAlign w:val="center"/>
          </w:tcPr>
          <w:p w14:paraId="3EE06F5C" w14:textId="061DD55B"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759</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977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311</w:t>
            </w:r>
          </w:p>
        </w:tc>
        <w:tc>
          <w:tcPr>
            <w:tcW w:w="519" w:type="pct"/>
            <w:vAlign w:val="center"/>
          </w:tcPr>
          <w:p w14:paraId="431CFD28" w14:textId="7B22F01F"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02</w:t>
            </w:r>
          </w:p>
        </w:tc>
      </w:tr>
      <w:tr w:rsidR="00320910" w:rsidRPr="00E84F7D" w14:paraId="3A98D721" w14:textId="77777777" w:rsidTr="008E6149">
        <w:trPr>
          <w:trHeight w:val="242"/>
        </w:trPr>
        <w:tc>
          <w:tcPr>
            <w:tcW w:w="1659" w:type="pct"/>
            <w:tcBorders>
              <w:bottom w:val="single" w:sz="4" w:space="0" w:color="auto"/>
            </w:tcBorders>
            <w:shd w:val="clear" w:color="auto" w:fill="auto"/>
            <w:noWrap/>
            <w:vAlign w:val="center"/>
          </w:tcPr>
          <w:p w14:paraId="15AC6C6C"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Uomini</w:t>
            </w:r>
          </w:p>
        </w:tc>
        <w:tc>
          <w:tcPr>
            <w:tcW w:w="479" w:type="pct"/>
            <w:tcBorders>
              <w:bottom w:val="single" w:sz="4" w:space="0" w:color="auto"/>
            </w:tcBorders>
            <w:shd w:val="clear" w:color="auto" w:fill="auto"/>
            <w:vAlign w:val="center"/>
          </w:tcPr>
          <w:p w14:paraId="12C83591" w14:textId="7F94113F"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3</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281</w:t>
            </w:r>
          </w:p>
        </w:tc>
        <w:tc>
          <w:tcPr>
            <w:tcW w:w="704" w:type="pct"/>
            <w:tcBorders>
              <w:bottom w:val="single" w:sz="4" w:space="0" w:color="auto"/>
            </w:tcBorders>
            <w:shd w:val="clear" w:color="auto" w:fill="auto"/>
            <w:vAlign w:val="center"/>
          </w:tcPr>
          <w:p w14:paraId="25BBB659" w14:textId="1FD8FD94"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173</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185</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958</w:t>
            </w:r>
          </w:p>
        </w:tc>
        <w:tc>
          <w:tcPr>
            <w:tcW w:w="519" w:type="pct"/>
            <w:tcBorders>
              <w:bottom w:val="single" w:sz="4" w:space="0" w:color="auto"/>
            </w:tcBorders>
            <w:shd w:val="clear" w:color="auto" w:fill="auto"/>
            <w:vAlign w:val="center"/>
          </w:tcPr>
          <w:p w14:paraId="2D4F306D" w14:textId="14EF138F"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19</w:t>
            </w:r>
          </w:p>
        </w:tc>
        <w:tc>
          <w:tcPr>
            <w:tcW w:w="479" w:type="pct"/>
            <w:tcBorders>
              <w:bottom w:val="single" w:sz="4" w:space="0" w:color="auto"/>
            </w:tcBorders>
            <w:vAlign w:val="center"/>
          </w:tcPr>
          <w:p w14:paraId="520192FF" w14:textId="2B5B477D"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447</w:t>
            </w:r>
          </w:p>
        </w:tc>
        <w:tc>
          <w:tcPr>
            <w:tcW w:w="641" w:type="pct"/>
            <w:tcBorders>
              <w:bottom w:val="single" w:sz="4" w:space="0" w:color="auto"/>
            </w:tcBorders>
            <w:vAlign w:val="center"/>
          </w:tcPr>
          <w:p w14:paraId="217132D4" w14:textId="0D665584"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591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983</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185</w:t>
            </w:r>
          </w:p>
        </w:tc>
        <w:tc>
          <w:tcPr>
            <w:tcW w:w="519" w:type="pct"/>
            <w:tcBorders>
              <w:bottom w:val="single" w:sz="4" w:space="0" w:color="auto"/>
            </w:tcBorders>
            <w:vAlign w:val="center"/>
          </w:tcPr>
          <w:p w14:paraId="0EB7C1F7" w14:textId="16AA1EBE"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02</w:t>
            </w:r>
          </w:p>
        </w:tc>
      </w:tr>
      <w:tr w:rsidR="00320910" w:rsidRPr="00E84F7D" w14:paraId="22C8F3E0" w14:textId="77777777" w:rsidTr="008E6149">
        <w:trPr>
          <w:trHeight w:val="242"/>
        </w:trPr>
        <w:tc>
          <w:tcPr>
            <w:tcW w:w="1659" w:type="pct"/>
            <w:tcBorders>
              <w:bottom w:val="single" w:sz="4" w:space="0" w:color="auto"/>
            </w:tcBorders>
            <w:shd w:val="clear" w:color="auto" w:fill="auto"/>
            <w:noWrap/>
            <w:vAlign w:val="center"/>
          </w:tcPr>
          <w:p w14:paraId="1481E1E3" w14:textId="77777777" w:rsidR="00320910" w:rsidRPr="00E84F7D" w:rsidRDefault="00320910" w:rsidP="002A1FBD">
            <w:pPr>
              <w:spacing w:after="0" w:line="240" w:lineRule="auto"/>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Area geografica</w:t>
            </w:r>
          </w:p>
        </w:tc>
        <w:tc>
          <w:tcPr>
            <w:tcW w:w="479" w:type="pct"/>
            <w:tcBorders>
              <w:bottom w:val="single" w:sz="4" w:space="0" w:color="auto"/>
            </w:tcBorders>
            <w:shd w:val="clear" w:color="auto" w:fill="auto"/>
            <w:vAlign w:val="center"/>
          </w:tcPr>
          <w:p w14:paraId="55C36D39"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 </w:t>
            </w:r>
          </w:p>
        </w:tc>
        <w:tc>
          <w:tcPr>
            <w:tcW w:w="704" w:type="pct"/>
            <w:tcBorders>
              <w:bottom w:val="single" w:sz="4" w:space="0" w:color="auto"/>
            </w:tcBorders>
            <w:shd w:val="clear" w:color="auto" w:fill="auto"/>
            <w:vAlign w:val="center"/>
          </w:tcPr>
          <w:p w14:paraId="4542008B"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 </w:t>
            </w:r>
          </w:p>
        </w:tc>
        <w:tc>
          <w:tcPr>
            <w:tcW w:w="519" w:type="pct"/>
            <w:tcBorders>
              <w:bottom w:val="single" w:sz="4" w:space="0" w:color="auto"/>
            </w:tcBorders>
            <w:shd w:val="clear" w:color="auto" w:fill="auto"/>
            <w:vAlign w:val="center"/>
          </w:tcPr>
          <w:p w14:paraId="101BB05D"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 </w:t>
            </w:r>
          </w:p>
        </w:tc>
        <w:tc>
          <w:tcPr>
            <w:tcW w:w="479" w:type="pct"/>
            <w:tcBorders>
              <w:bottom w:val="single" w:sz="4" w:space="0" w:color="auto"/>
            </w:tcBorders>
            <w:vAlign w:val="center"/>
          </w:tcPr>
          <w:p w14:paraId="1149876D"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 </w:t>
            </w:r>
          </w:p>
        </w:tc>
        <w:tc>
          <w:tcPr>
            <w:tcW w:w="641" w:type="pct"/>
            <w:tcBorders>
              <w:bottom w:val="single" w:sz="4" w:space="0" w:color="auto"/>
            </w:tcBorders>
            <w:vAlign w:val="center"/>
          </w:tcPr>
          <w:p w14:paraId="4CDD1772"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 </w:t>
            </w:r>
          </w:p>
        </w:tc>
        <w:tc>
          <w:tcPr>
            <w:tcW w:w="519" w:type="pct"/>
            <w:tcBorders>
              <w:bottom w:val="single" w:sz="4" w:space="0" w:color="auto"/>
            </w:tcBorders>
            <w:vAlign w:val="center"/>
          </w:tcPr>
          <w:p w14:paraId="58D948C1"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 </w:t>
            </w:r>
          </w:p>
        </w:tc>
      </w:tr>
      <w:tr w:rsidR="00320910" w:rsidRPr="00E84F7D" w14:paraId="251FAD34" w14:textId="77777777" w:rsidTr="008E6149">
        <w:trPr>
          <w:trHeight w:val="242"/>
        </w:trPr>
        <w:tc>
          <w:tcPr>
            <w:tcW w:w="1659" w:type="pct"/>
            <w:tcBorders>
              <w:bottom w:val="single" w:sz="4" w:space="0" w:color="auto"/>
            </w:tcBorders>
            <w:shd w:val="clear" w:color="auto" w:fill="auto"/>
            <w:noWrap/>
            <w:vAlign w:val="center"/>
          </w:tcPr>
          <w:p w14:paraId="12409119"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Nord</w:t>
            </w:r>
          </w:p>
        </w:tc>
        <w:tc>
          <w:tcPr>
            <w:tcW w:w="479" w:type="pct"/>
            <w:tcBorders>
              <w:bottom w:val="single" w:sz="4" w:space="0" w:color="auto"/>
            </w:tcBorders>
            <w:shd w:val="clear" w:color="auto" w:fill="auto"/>
            <w:vAlign w:val="center"/>
          </w:tcPr>
          <w:p w14:paraId="520B32D0" w14:textId="6E18AE82"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4</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137</w:t>
            </w:r>
          </w:p>
        </w:tc>
        <w:tc>
          <w:tcPr>
            <w:tcW w:w="704" w:type="pct"/>
            <w:tcBorders>
              <w:bottom w:val="single" w:sz="4" w:space="0" w:color="auto"/>
            </w:tcBorders>
            <w:shd w:val="clear" w:color="auto" w:fill="auto"/>
            <w:vAlign w:val="center"/>
          </w:tcPr>
          <w:p w14:paraId="12A94163" w14:textId="11FE9A9A"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193</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857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446</w:t>
            </w:r>
          </w:p>
        </w:tc>
        <w:tc>
          <w:tcPr>
            <w:tcW w:w="519" w:type="pct"/>
            <w:tcBorders>
              <w:bottom w:val="single" w:sz="4" w:space="0" w:color="auto"/>
            </w:tcBorders>
            <w:shd w:val="clear" w:color="auto" w:fill="auto"/>
            <w:vAlign w:val="center"/>
          </w:tcPr>
          <w:p w14:paraId="023E350E" w14:textId="2864C9E5"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21</w:t>
            </w:r>
          </w:p>
        </w:tc>
        <w:tc>
          <w:tcPr>
            <w:tcW w:w="479" w:type="pct"/>
            <w:tcBorders>
              <w:bottom w:val="single" w:sz="4" w:space="0" w:color="auto"/>
            </w:tcBorders>
            <w:vAlign w:val="center"/>
          </w:tcPr>
          <w:p w14:paraId="27861582" w14:textId="0B39BD33"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849</w:t>
            </w:r>
          </w:p>
        </w:tc>
        <w:tc>
          <w:tcPr>
            <w:tcW w:w="641" w:type="pct"/>
            <w:tcBorders>
              <w:bottom w:val="single" w:sz="4" w:space="0" w:color="auto"/>
            </w:tcBorders>
            <w:vAlign w:val="center"/>
          </w:tcPr>
          <w:p w14:paraId="5DF3D147" w14:textId="0B96A2B0"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722</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852</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438</w:t>
            </w:r>
          </w:p>
        </w:tc>
        <w:tc>
          <w:tcPr>
            <w:tcW w:w="519" w:type="pct"/>
            <w:tcBorders>
              <w:bottom w:val="single" w:sz="4" w:space="0" w:color="auto"/>
            </w:tcBorders>
            <w:vAlign w:val="center"/>
          </w:tcPr>
          <w:p w14:paraId="6DB07259" w14:textId="5BC4A520"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03</w:t>
            </w:r>
          </w:p>
        </w:tc>
      </w:tr>
      <w:tr w:rsidR="00320910" w:rsidRPr="00E84F7D" w14:paraId="558787AB" w14:textId="77777777" w:rsidTr="008E6149">
        <w:trPr>
          <w:trHeight w:val="242"/>
        </w:trPr>
        <w:tc>
          <w:tcPr>
            <w:tcW w:w="1659" w:type="pct"/>
            <w:tcBorders>
              <w:bottom w:val="single" w:sz="4" w:space="0" w:color="auto"/>
            </w:tcBorders>
            <w:shd w:val="clear" w:color="auto" w:fill="auto"/>
            <w:noWrap/>
            <w:vAlign w:val="center"/>
          </w:tcPr>
          <w:p w14:paraId="4B447AE2"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Centro</w:t>
            </w:r>
          </w:p>
        </w:tc>
        <w:tc>
          <w:tcPr>
            <w:tcW w:w="479" w:type="pct"/>
            <w:tcBorders>
              <w:bottom w:val="single" w:sz="4" w:space="0" w:color="auto"/>
            </w:tcBorders>
            <w:shd w:val="clear" w:color="auto" w:fill="auto"/>
            <w:vAlign w:val="center"/>
          </w:tcPr>
          <w:p w14:paraId="1D2B0586"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685</w:t>
            </w:r>
          </w:p>
        </w:tc>
        <w:tc>
          <w:tcPr>
            <w:tcW w:w="704" w:type="pct"/>
            <w:tcBorders>
              <w:bottom w:val="single" w:sz="4" w:space="0" w:color="auto"/>
            </w:tcBorders>
            <w:shd w:val="clear" w:color="auto" w:fill="auto"/>
            <w:vAlign w:val="center"/>
          </w:tcPr>
          <w:p w14:paraId="167F9BDB" w14:textId="3673013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50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246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151</w:t>
            </w:r>
          </w:p>
        </w:tc>
        <w:tc>
          <w:tcPr>
            <w:tcW w:w="519" w:type="pct"/>
            <w:tcBorders>
              <w:bottom w:val="single" w:sz="4" w:space="0" w:color="auto"/>
            </w:tcBorders>
            <w:shd w:val="clear" w:color="auto" w:fill="auto"/>
            <w:vAlign w:val="center"/>
          </w:tcPr>
          <w:p w14:paraId="388AE08C" w14:textId="11C61855"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14</w:t>
            </w:r>
          </w:p>
        </w:tc>
        <w:tc>
          <w:tcPr>
            <w:tcW w:w="479" w:type="pct"/>
            <w:tcBorders>
              <w:bottom w:val="single" w:sz="4" w:space="0" w:color="auto"/>
            </w:tcBorders>
            <w:vAlign w:val="center"/>
          </w:tcPr>
          <w:p w14:paraId="42D53958"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435</w:t>
            </w:r>
          </w:p>
        </w:tc>
        <w:tc>
          <w:tcPr>
            <w:tcW w:w="641" w:type="pct"/>
            <w:tcBorders>
              <w:bottom w:val="single" w:sz="4" w:space="0" w:color="auto"/>
            </w:tcBorders>
            <w:vAlign w:val="center"/>
          </w:tcPr>
          <w:p w14:paraId="0905C0AF" w14:textId="460CBE14"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188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770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728</w:t>
            </w:r>
          </w:p>
        </w:tc>
        <w:tc>
          <w:tcPr>
            <w:tcW w:w="519" w:type="pct"/>
            <w:tcBorders>
              <w:bottom w:val="single" w:sz="4" w:space="0" w:color="auto"/>
            </w:tcBorders>
            <w:vAlign w:val="center"/>
          </w:tcPr>
          <w:p w14:paraId="3CBDB9A3" w14:textId="69D3D001"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02</w:t>
            </w:r>
          </w:p>
        </w:tc>
      </w:tr>
      <w:tr w:rsidR="00320910" w:rsidRPr="00E84F7D" w14:paraId="1C08BBE5" w14:textId="77777777" w:rsidTr="008E6149">
        <w:trPr>
          <w:trHeight w:val="242"/>
        </w:trPr>
        <w:tc>
          <w:tcPr>
            <w:tcW w:w="1659" w:type="pct"/>
            <w:tcBorders>
              <w:bottom w:val="single" w:sz="4" w:space="0" w:color="auto"/>
            </w:tcBorders>
            <w:shd w:val="clear" w:color="auto" w:fill="auto"/>
            <w:noWrap/>
            <w:vAlign w:val="center"/>
          </w:tcPr>
          <w:p w14:paraId="4B6C82B6"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Sud e isole</w:t>
            </w:r>
          </w:p>
        </w:tc>
        <w:tc>
          <w:tcPr>
            <w:tcW w:w="479" w:type="pct"/>
            <w:tcBorders>
              <w:bottom w:val="single" w:sz="4" w:space="0" w:color="auto"/>
            </w:tcBorders>
            <w:shd w:val="clear" w:color="auto" w:fill="auto"/>
            <w:vAlign w:val="center"/>
          </w:tcPr>
          <w:p w14:paraId="1CDF66EC" w14:textId="01FEAD46"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295</w:t>
            </w:r>
          </w:p>
        </w:tc>
        <w:tc>
          <w:tcPr>
            <w:tcW w:w="704" w:type="pct"/>
            <w:tcBorders>
              <w:bottom w:val="single" w:sz="4" w:space="0" w:color="auto"/>
            </w:tcBorders>
            <w:shd w:val="clear" w:color="auto" w:fill="auto"/>
            <w:vAlign w:val="center"/>
          </w:tcPr>
          <w:p w14:paraId="417C274D" w14:textId="0A6E5218"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122</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638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635</w:t>
            </w:r>
          </w:p>
        </w:tc>
        <w:tc>
          <w:tcPr>
            <w:tcW w:w="519" w:type="pct"/>
            <w:tcBorders>
              <w:bottom w:val="single" w:sz="4" w:space="0" w:color="auto"/>
            </w:tcBorders>
            <w:shd w:val="clear" w:color="auto" w:fill="auto"/>
            <w:vAlign w:val="center"/>
          </w:tcPr>
          <w:p w14:paraId="52FC9E52" w14:textId="56D155E0"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11</w:t>
            </w:r>
          </w:p>
        </w:tc>
        <w:tc>
          <w:tcPr>
            <w:tcW w:w="479" w:type="pct"/>
            <w:tcBorders>
              <w:bottom w:val="single" w:sz="4" w:space="0" w:color="auto"/>
            </w:tcBorders>
            <w:vAlign w:val="center"/>
          </w:tcPr>
          <w:p w14:paraId="40529877"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609</w:t>
            </w:r>
          </w:p>
        </w:tc>
        <w:tc>
          <w:tcPr>
            <w:tcW w:w="641" w:type="pct"/>
            <w:tcBorders>
              <w:bottom w:val="single" w:sz="4" w:space="0" w:color="auto"/>
            </w:tcBorders>
            <w:vAlign w:val="center"/>
          </w:tcPr>
          <w:p w14:paraId="3BAFDD8E" w14:textId="6C51469E"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440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337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330</w:t>
            </w:r>
          </w:p>
        </w:tc>
        <w:tc>
          <w:tcPr>
            <w:tcW w:w="519" w:type="pct"/>
            <w:tcBorders>
              <w:bottom w:val="single" w:sz="4" w:space="0" w:color="auto"/>
            </w:tcBorders>
            <w:vAlign w:val="center"/>
          </w:tcPr>
          <w:p w14:paraId="64D35FA2" w14:textId="0AB946DC"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01</w:t>
            </w:r>
          </w:p>
        </w:tc>
      </w:tr>
      <w:tr w:rsidR="00320910" w:rsidRPr="00A227B4" w14:paraId="3367D33E" w14:textId="77777777" w:rsidTr="008E6149">
        <w:trPr>
          <w:trHeight w:val="242"/>
        </w:trPr>
        <w:tc>
          <w:tcPr>
            <w:tcW w:w="1659" w:type="pct"/>
            <w:tcBorders>
              <w:bottom w:val="single" w:sz="4" w:space="0" w:color="auto"/>
            </w:tcBorders>
            <w:shd w:val="clear" w:color="auto" w:fill="auto"/>
            <w:noWrap/>
            <w:vAlign w:val="center"/>
          </w:tcPr>
          <w:p w14:paraId="161D0534" w14:textId="77777777" w:rsidR="00320910" w:rsidRPr="00E84F7D" w:rsidRDefault="00320910" w:rsidP="002A1FBD">
            <w:pPr>
              <w:spacing w:after="0" w:line="240" w:lineRule="auto"/>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Periodo di prima somministrazione del vaccino COVID-19</w:t>
            </w:r>
          </w:p>
        </w:tc>
        <w:tc>
          <w:tcPr>
            <w:tcW w:w="479" w:type="pct"/>
            <w:tcBorders>
              <w:bottom w:val="single" w:sz="4" w:space="0" w:color="auto"/>
            </w:tcBorders>
            <w:shd w:val="clear" w:color="auto" w:fill="auto"/>
            <w:vAlign w:val="center"/>
          </w:tcPr>
          <w:p w14:paraId="725D5A87"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color w:val="000000"/>
                <w:sz w:val="18"/>
                <w:szCs w:val="18"/>
                <w:lang w:val="it-IT"/>
              </w:rPr>
              <w:t> </w:t>
            </w:r>
          </w:p>
        </w:tc>
        <w:tc>
          <w:tcPr>
            <w:tcW w:w="704" w:type="pct"/>
            <w:tcBorders>
              <w:bottom w:val="single" w:sz="4" w:space="0" w:color="auto"/>
            </w:tcBorders>
            <w:shd w:val="clear" w:color="auto" w:fill="auto"/>
            <w:vAlign w:val="center"/>
          </w:tcPr>
          <w:p w14:paraId="0266E78E"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color w:val="000000"/>
                <w:sz w:val="18"/>
                <w:szCs w:val="18"/>
                <w:lang w:val="it-IT"/>
              </w:rPr>
              <w:t> </w:t>
            </w:r>
          </w:p>
        </w:tc>
        <w:tc>
          <w:tcPr>
            <w:tcW w:w="519" w:type="pct"/>
            <w:tcBorders>
              <w:bottom w:val="single" w:sz="4" w:space="0" w:color="auto"/>
            </w:tcBorders>
            <w:shd w:val="clear" w:color="auto" w:fill="auto"/>
            <w:vAlign w:val="center"/>
          </w:tcPr>
          <w:p w14:paraId="40CDE576"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b/>
                <w:bCs/>
                <w:color w:val="000000"/>
                <w:sz w:val="18"/>
                <w:szCs w:val="18"/>
                <w:lang w:val="it-IT"/>
              </w:rPr>
              <w:t> </w:t>
            </w:r>
          </w:p>
        </w:tc>
        <w:tc>
          <w:tcPr>
            <w:tcW w:w="479" w:type="pct"/>
            <w:tcBorders>
              <w:bottom w:val="single" w:sz="4" w:space="0" w:color="auto"/>
            </w:tcBorders>
            <w:vAlign w:val="center"/>
          </w:tcPr>
          <w:p w14:paraId="35E8C686"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color w:val="000000"/>
                <w:sz w:val="18"/>
                <w:szCs w:val="18"/>
                <w:lang w:val="it-IT"/>
              </w:rPr>
              <w:t> </w:t>
            </w:r>
          </w:p>
        </w:tc>
        <w:tc>
          <w:tcPr>
            <w:tcW w:w="641" w:type="pct"/>
            <w:tcBorders>
              <w:bottom w:val="single" w:sz="4" w:space="0" w:color="auto"/>
            </w:tcBorders>
            <w:vAlign w:val="center"/>
          </w:tcPr>
          <w:p w14:paraId="3E14C750"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color w:val="000000"/>
                <w:sz w:val="18"/>
                <w:szCs w:val="18"/>
                <w:lang w:val="it-IT"/>
              </w:rPr>
              <w:t> </w:t>
            </w:r>
          </w:p>
        </w:tc>
        <w:tc>
          <w:tcPr>
            <w:tcW w:w="519" w:type="pct"/>
            <w:tcBorders>
              <w:bottom w:val="single" w:sz="4" w:space="0" w:color="auto"/>
            </w:tcBorders>
            <w:vAlign w:val="center"/>
          </w:tcPr>
          <w:p w14:paraId="3E2F3097"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color w:val="000000"/>
                <w:sz w:val="18"/>
                <w:szCs w:val="18"/>
                <w:lang w:val="it-IT"/>
              </w:rPr>
              <w:t> </w:t>
            </w:r>
          </w:p>
        </w:tc>
      </w:tr>
      <w:tr w:rsidR="00320910" w:rsidRPr="00E84F7D" w14:paraId="4CB897A6" w14:textId="77777777" w:rsidTr="008E6149">
        <w:trPr>
          <w:trHeight w:val="242"/>
        </w:trPr>
        <w:tc>
          <w:tcPr>
            <w:tcW w:w="1659" w:type="pct"/>
            <w:tcBorders>
              <w:bottom w:val="single" w:sz="4" w:space="0" w:color="auto"/>
            </w:tcBorders>
            <w:shd w:val="clear" w:color="auto" w:fill="auto"/>
            <w:noWrap/>
            <w:vAlign w:val="bottom"/>
          </w:tcPr>
          <w:p w14:paraId="311FC8D1"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27/12/2020-31/01/2021</w:t>
            </w:r>
          </w:p>
        </w:tc>
        <w:tc>
          <w:tcPr>
            <w:tcW w:w="479" w:type="pct"/>
            <w:tcBorders>
              <w:bottom w:val="single" w:sz="4" w:space="0" w:color="auto"/>
            </w:tcBorders>
            <w:shd w:val="clear" w:color="auto" w:fill="auto"/>
            <w:vAlign w:val="center"/>
          </w:tcPr>
          <w:p w14:paraId="2B67C4DB"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717</w:t>
            </w:r>
          </w:p>
        </w:tc>
        <w:tc>
          <w:tcPr>
            <w:tcW w:w="704" w:type="pct"/>
            <w:tcBorders>
              <w:bottom w:val="single" w:sz="4" w:space="0" w:color="auto"/>
            </w:tcBorders>
            <w:shd w:val="clear" w:color="auto" w:fill="auto"/>
            <w:vAlign w:val="center"/>
          </w:tcPr>
          <w:p w14:paraId="46F7D19C" w14:textId="42D9450D"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157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128</w:t>
            </w:r>
          </w:p>
        </w:tc>
        <w:tc>
          <w:tcPr>
            <w:tcW w:w="519" w:type="pct"/>
            <w:tcBorders>
              <w:bottom w:val="single" w:sz="4" w:space="0" w:color="auto"/>
            </w:tcBorders>
            <w:shd w:val="clear" w:color="auto" w:fill="auto"/>
            <w:vAlign w:val="center"/>
          </w:tcPr>
          <w:p w14:paraId="2C313586" w14:textId="01A59800"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42</w:t>
            </w:r>
          </w:p>
        </w:tc>
        <w:tc>
          <w:tcPr>
            <w:tcW w:w="479" w:type="pct"/>
            <w:tcBorders>
              <w:bottom w:val="single" w:sz="4" w:space="0" w:color="auto"/>
            </w:tcBorders>
            <w:vAlign w:val="center"/>
          </w:tcPr>
          <w:p w14:paraId="76DF2613"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535</w:t>
            </w:r>
          </w:p>
        </w:tc>
        <w:tc>
          <w:tcPr>
            <w:tcW w:w="641" w:type="pct"/>
            <w:tcBorders>
              <w:bottom w:val="single" w:sz="4" w:space="0" w:color="auto"/>
            </w:tcBorders>
            <w:vAlign w:val="center"/>
          </w:tcPr>
          <w:p w14:paraId="69C4A348" w14:textId="2E118463"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216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186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929</w:t>
            </w:r>
          </w:p>
        </w:tc>
        <w:tc>
          <w:tcPr>
            <w:tcW w:w="519" w:type="pct"/>
            <w:tcBorders>
              <w:bottom w:val="single" w:sz="4" w:space="0" w:color="auto"/>
            </w:tcBorders>
            <w:vAlign w:val="center"/>
          </w:tcPr>
          <w:p w14:paraId="37B8EF14" w14:textId="30BF69C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02</w:t>
            </w:r>
          </w:p>
        </w:tc>
      </w:tr>
      <w:tr w:rsidR="00320910" w:rsidRPr="00E84F7D" w14:paraId="1EB7BA9A" w14:textId="77777777" w:rsidTr="008E6149">
        <w:trPr>
          <w:trHeight w:val="242"/>
        </w:trPr>
        <w:tc>
          <w:tcPr>
            <w:tcW w:w="1659" w:type="pct"/>
            <w:tcBorders>
              <w:bottom w:val="single" w:sz="4" w:space="0" w:color="auto"/>
            </w:tcBorders>
            <w:shd w:val="clear" w:color="auto" w:fill="auto"/>
            <w:noWrap/>
            <w:vAlign w:val="bottom"/>
          </w:tcPr>
          <w:p w14:paraId="609E9CC9"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01/02/2021-28/02/2021</w:t>
            </w:r>
          </w:p>
        </w:tc>
        <w:tc>
          <w:tcPr>
            <w:tcW w:w="479" w:type="pct"/>
            <w:tcBorders>
              <w:bottom w:val="single" w:sz="4" w:space="0" w:color="auto"/>
            </w:tcBorders>
            <w:shd w:val="clear" w:color="auto" w:fill="auto"/>
            <w:vAlign w:val="center"/>
          </w:tcPr>
          <w:p w14:paraId="3FF1B0EC"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739</w:t>
            </w:r>
          </w:p>
        </w:tc>
        <w:tc>
          <w:tcPr>
            <w:tcW w:w="704" w:type="pct"/>
            <w:tcBorders>
              <w:bottom w:val="single" w:sz="4" w:space="0" w:color="auto"/>
            </w:tcBorders>
            <w:shd w:val="clear" w:color="auto" w:fill="auto"/>
            <w:vAlign w:val="center"/>
          </w:tcPr>
          <w:p w14:paraId="361D28C6" w14:textId="23EB5E5D"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527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867</w:t>
            </w:r>
          </w:p>
        </w:tc>
        <w:tc>
          <w:tcPr>
            <w:tcW w:w="519" w:type="pct"/>
            <w:tcBorders>
              <w:bottom w:val="single" w:sz="4" w:space="0" w:color="auto"/>
            </w:tcBorders>
            <w:shd w:val="clear" w:color="auto" w:fill="auto"/>
            <w:vAlign w:val="center"/>
          </w:tcPr>
          <w:p w14:paraId="17B20202" w14:textId="43964F7F"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45</w:t>
            </w:r>
          </w:p>
        </w:tc>
        <w:tc>
          <w:tcPr>
            <w:tcW w:w="479" w:type="pct"/>
            <w:tcBorders>
              <w:bottom w:val="single" w:sz="4" w:space="0" w:color="auto"/>
            </w:tcBorders>
            <w:vAlign w:val="center"/>
          </w:tcPr>
          <w:p w14:paraId="2303C48B"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547</w:t>
            </w:r>
          </w:p>
        </w:tc>
        <w:tc>
          <w:tcPr>
            <w:tcW w:w="641" w:type="pct"/>
            <w:tcBorders>
              <w:bottom w:val="single" w:sz="4" w:space="0" w:color="auto"/>
            </w:tcBorders>
            <w:vAlign w:val="center"/>
          </w:tcPr>
          <w:p w14:paraId="6297DCB7" w14:textId="7F552AD9"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162</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661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309</w:t>
            </w:r>
          </w:p>
        </w:tc>
        <w:tc>
          <w:tcPr>
            <w:tcW w:w="519" w:type="pct"/>
            <w:tcBorders>
              <w:bottom w:val="single" w:sz="4" w:space="0" w:color="auto"/>
            </w:tcBorders>
            <w:vAlign w:val="center"/>
          </w:tcPr>
          <w:p w14:paraId="76FB389C" w14:textId="3D2DDF6C"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03</w:t>
            </w:r>
          </w:p>
        </w:tc>
      </w:tr>
      <w:tr w:rsidR="00320910" w:rsidRPr="00E84F7D" w14:paraId="580051C4" w14:textId="77777777" w:rsidTr="008E6149">
        <w:trPr>
          <w:trHeight w:val="242"/>
        </w:trPr>
        <w:tc>
          <w:tcPr>
            <w:tcW w:w="1659" w:type="pct"/>
            <w:tcBorders>
              <w:bottom w:val="single" w:sz="4" w:space="0" w:color="auto"/>
            </w:tcBorders>
            <w:shd w:val="clear" w:color="auto" w:fill="auto"/>
            <w:noWrap/>
            <w:vAlign w:val="bottom"/>
          </w:tcPr>
          <w:p w14:paraId="097E583A"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01/03/2021-28/03/2021</w:t>
            </w:r>
          </w:p>
        </w:tc>
        <w:tc>
          <w:tcPr>
            <w:tcW w:w="479" w:type="pct"/>
            <w:tcBorders>
              <w:bottom w:val="single" w:sz="4" w:space="0" w:color="auto"/>
            </w:tcBorders>
            <w:shd w:val="clear" w:color="auto" w:fill="auto"/>
            <w:vAlign w:val="center"/>
          </w:tcPr>
          <w:p w14:paraId="4F0B57FA" w14:textId="313BC809"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909</w:t>
            </w:r>
          </w:p>
        </w:tc>
        <w:tc>
          <w:tcPr>
            <w:tcW w:w="704" w:type="pct"/>
            <w:tcBorders>
              <w:bottom w:val="single" w:sz="4" w:space="0" w:color="auto"/>
            </w:tcBorders>
            <w:shd w:val="clear" w:color="auto" w:fill="auto"/>
            <w:vAlign w:val="center"/>
          </w:tcPr>
          <w:p w14:paraId="013AE06D" w14:textId="707C18E9"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678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133</w:t>
            </w:r>
          </w:p>
        </w:tc>
        <w:tc>
          <w:tcPr>
            <w:tcW w:w="519" w:type="pct"/>
            <w:tcBorders>
              <w:bottom w:val="single" w:sz="4" w:space="0" w:color="auto"/>
            </w:tcBorders>
            <w:shd w:val="clear" w:color="auto" w:fill="auto"/>
            <w:vAlign w:val="center"/>
          </w:tcPr>
          <w:p w14:paraId="4AC05777" w14:textId="2B646DEB"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67</w:t>
            </w:r>
          </w:p>
        </w:tc>
        <w:tc>
          <w:tcPr>
            <w:tcW w:w="479" w:type="pct"/>
            <w:tcBorders>
              <w:bottom w:val="single" w:sz="4" w:space="0" w:color="auto"/>
            </w:tcBorders>
            <w:vAlign w:val="center"/>
          </w:tcPr>
          <w:p w14:paraId="4FE84DF7"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951</w:t>
            </w:r>
          </w:p>
        </w:tc>
        <w:tc>
          <w:tcPr>
            <w:tcW w:w="641" w:type="pct"/>
            <w:tcBorders>
              <w:bottom w:val="single" w:sz="4" w:space="0" w:color="auto"/>
            </w:tcBorders>
            <w:vAlign w:val="center"/>
          </w:tcPr>
          <w:p w14:paraId="1E03EAF4" w14:textId="0DF3B8C0"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232</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490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262</w:t>
            </w:r>
          </w:p>
        </w:tc>
        <w:tc>
          <w:tcPr>
            <w:tcW w:w="519" w:type="pct"/>
            <w:tcBorders>
              <w:bottom w:val="single" w:sz="4" w:space="0" w:color="auto"/>
            </w:tcBorders>
            <w:vAlign w:val="center"/>
          </w:tcPr>
          <w:p w14:paraId="17594D89" w14:textId="0A65746A"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04</w:t>
            </w:r>
          </w:p>
        </w:tc>
      </w:tr>
      <w:tr w:rsidR="00320910" w:rsidRPr="00E84F7D" w14:paraId="30AB6262" w14:textId="77777777" w:rsidTr="008E6149">
        <w:trPr>
          <w:trHeight w:val="242"/>
        </w:trPr>
        <w:tc>
          <w:tcPr>
            <w:tcW w:w="1659" w:type="pct"/>
            <w:tcBorders>
              <w:bottom w:val="single" w:sz="4" w:space="0" w:color="auto"/>
            </w:tcBorders>
            <w:shd w:val="clear" w:color="auto" w:fill="auto"/>
            <w:noWrap/>
            <w:vAlign w:val="bottom"/>
          </w:tcPr>
          <w:p w14:paraId="1F4DB39B"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29/03/2021-25/04/2021</w:t>
            </w:r>
          </w:p>
        </w:tc>
        <w:tc>
          <w:tcPr>
            <w:tcW w:w="479" w:type="pct"/>
            <w:tcBorders>
              <w:bottom w:val="single" w:sz="4" w:space="0" w:color="auto"/>
            </w:tcBorders>
            <w:shd w:val="clear" w:color="auto" w:fill="auto"/>
            <w:vAlign w:val="center"/>
          </w:tcPr>
          <w:p w14:paraId="02F00E44" w14:textId="41CEA0D5"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791</w:t>
            </w:r>
          </w:p>
        </w:tc>
        <w:tc>
          <w:tcPr>
            <w:tcW w:w="704" w:type="pct"/>
            <w:tcBorders>
              <w:bottom w:val="single" w:sz="4" w:space="0" w:color="auto"/>
            </w:tcBorders>
            <w:shd w:val="clear" w:color="auto" w:fill="auto"/>
            <w:vAlign w:val="center"/>
          </w:tcPr>
          <w:p w14:paraId="4E5FE8B8" w14:textId="5BF7546F"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52</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647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018</w:t>
            </w:r>
          </w:p>
        </w:tc>
        <w:tc>
          <w:tcPr>
            <w:tcW w:w="519" w:type="pct"/>
            <w:tcBorders>
              <w:bottom w:val="single" w:sz="4" w:space="0" w:color="auto"/>
            </w:tcBorders>
            <w:shd w:val="clear" w:color="auto" w:fill="auto"/>
            <w:vAlign w:val="center"/>
          </w:tcPr>
          <w:p w14:paraId="506FC684" w14:textId="22A0E220"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34</w:t>
            </w:r>
          </w:p>
        </w:tc>
        <w:tc>
          <w:tcPr>
            <w:tcW w:w="479" w:type="pct"/>
            <w:tcBorders>
              <w:bottom w:val="single" w:sz="4" w:space="0" w:color="auto"/>
            </w:tcBorders>
            <w:vAlign w:val="center"/>
          </w:tcPr>
          <w:p w14:paraId="6B1FA778"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676</w:t>
            </w:r>
          </w:p>
        </w:tc>
        <w:tc>
          <w:tcPr>
            <w:tcW w:w="641" w:type="pct"/>
            <w:tcBorders>
              <w:bottom w:val="single" w:sz="4" w:space="0" w:color="auto"/>
            </w:tcBorders>
            <w:vAlign w:val="center"/>
          </w:tcPr>
          <w:p w14:paraId="3868878D" w14:textId="180AAFBA"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319</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792</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789</w:t>
            </w:r>
          </w:p>
        </w:tc>
        <w:tc>
          <w:tcPr>
            <w:tcW w:w="519" w:type="pct"/>
            <w:tcBorders>
              <w:bottom w:val="single" w:sz="4" w:space="0" w:color="auto"/>
            </w:tcBorders>
            <w:vAlign w:val="center"/>
          </w:tcPr>
          <w:p w14:paraId="1D2507DD" w14:textId="51C4CA46"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02</w:t>
            </w:r>
          </w:p>
        </w:tc>
      </w:tr>
      <w:tr w:rsidR="00320910" w:rsidRPr="00E84F7D" w14:paraId="21D03216" w14:textId="77777777" w:rsidTr="008E6149">
        <w:trPr>
          <w:trHeight w:val="242"/>
        </w:trPr>
        <w:tc>
          <w:tcPr>
            <w:tcW w:w="1659" w:type="pct"/>
            <w:tcBorders>
              <w:bottom w:val="single" w:sz="4" w:space="0" w:color="auto"/>
            </w:tcBorders>
            <w:shd w:val="clear" w:color="auto" w:fill="auto"/>
            <w:noWrap/>
            <w:vAlign w:val="bottom"/>
          </w:tcPr>
          <w:p w14:paraId="39EA0CD0"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26/04/2021-23/05/2021</w:t>
            </w:r>
          </w:p>
        </w:tc>
        <w:tc>
          <w:tcPr>
            <w:tcW w:w="479" w:type="pct"/>
            <w:tcBorders>
              <w:bottom w:val="single" w:sz="4" w:space="0" w:color="auto"/>
            </w:tcBorders>
            <w:shd w:val="clear" w:color="auto" w:fill="auto"/>
            <w:vAlign w:val="center"/>
          </w:tcPr>
          <w:p w14:paraId="62FA5EC7"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664</w:t>
            </w:r>
          </w:p>
        </w:tc>
        <w:tc>
          <w:tcPr>
            <w:tcW w:w="704" w:type="pct"/>
            <w:tcBorders>
              <w:bottom w:val="single" w:sz="4" w:space="0" w:color="auto"/>
            </w:tcBorders>
            <w:shd w:val="clear" w:color="auto" w:fill="auto"/>
            <w:vAlign w:val="center"/>
          </w:tcPr>
          <w:p w14:paraId="3A12E29E" w14:textId="53CA2175"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78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928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377</w:t>
            </w:r>
          </w:p>
        </w:tc>
        <w:tc>
          <w:tcPr>
            <w:tcW w:w="519" w:type="pct"/>
            <w:tcBorders>
              <w:bottom w:val="single" w:sz="4" w:space="0" w:color="auto"/>
            </w:tcBorders>
            <w:shd w:val="clear" w:color="auto" w:fill="auto"/>
            <w:vAlign w:val="center"/>
          </w:tcPr>
          <w:p w14:paraId="018C9793" w14:textId="2184E8AF"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08</w:t>
            </w:r>
          </w:p>
        </w:tc>
        <w:tc>
          <w:tcPr>
            <w:tcW w:w="479" w:type="pct"/>
            <w:tcBorders>
              <w:bottom w:val="single" w:sz="4" w:space="0" w:color="auto"/>
            </w:tcBorders>
            <w:vAlign w:val="center"/>
          </w:tcPr>
          <w:p w14:paraId="099FA385"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146</w:t>
            </w:r>
          </w:p>
        </w:tc>
        <w:tc>
          <w:tcPr>
            <w:tcW w:w="641" w:type="pct"/>
            <w:tcBorders>
              <w:bottom w:val="single" w:sz="4" w:space="0" w:color="auto"/>
            </w:tcBorders>
            <w:vAlign w:val="center"/>
          </w:tcPr>
          <w:p w14:paraId="4C50D2E0" w14:textId="73577B84"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287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669</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387</w:t>
            </w:r>
          </w:p>
        </w:tc>
        <w:tc>
          <w:tcPr>
            <w:tcW w:w="519" w:type="pct"/>
            <w:tcBorders>
              <w:bottom w:val="single" w:sz="4" w:space="0" w:color="auto"/>
            </w:tcBorders>
            <w:vAlign w:val="center"/>
          </w:tcPr>
          <w:p w14:paraId="53B6AB23" w14:textId="1EC0FF7A"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01</w:t>
            </w:r>
          </w:p>
        </w:tc>
      </w:tr>
      <w:tr w:rsidR="00320910" w:rsidRPr="00E84F7D" w14:paraId="70BDFD7C" w14:textId="77777777" w:rsidTr="008E6149">
        <w:trPr>
          <w:trHeight w:val="242"/>
        </w:trPr>
        <w:tc>
          <w:tcPr>
            <w:tcW w:w="1659" w:type="pct"/>
            <w:shd w:val="clear" w:color="auto" w:fill="auto"/>
            <w:noWrap/>
            <w:vAlign w:val="bottom"/>
          </w:tcPr>
          <w:p w14:paraId="4B1E3DB3"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24/05/2021-20/06/2021</w:t>
            </w:r>
          </w:p>
        </w:tc>
        <w:tc>
          <w:tcPr>
            <w:tcW w:w="479" w:type="pct"/>
            <w:shd w:val="clear" w:color="auto" w:fill="auto"/>
            <w:vAlign w:val="center"/>
          </w:tcPr>
          <w:p w14:paraId="6231CF59"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177</w:t>
            </w:r>
          </w:p>
        </w:tc>
        <w:tc>
          <w:tcPr>
            <w:tcW w:w="704" w:type="pct"/>
            <w:shd w:val="clear" w:color="auto" w:fill="auto"/>
            <w:vAlign w:val="center"/>
          </w:tcPr>
          <w:p w14:paraId="2BEC6293" w14:textId="163B4A91"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116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517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372</w:t>
            </w:r>
          </w:p>
        </w:tc>
        <w:tc>
          <w:tcPr>
            <w:tcW w:w="519" w:type="pct"/>
            <w:shd w:val="clear" w:color="auto" w:fill="auto"/>
            <w:vAlign w:val="center"/>
          </w:tcPr>
          <w:p w14:paraId="268E61B1" w14:textId="4B3360AA"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02</w:t>
            </w:r>
          </w:p>
        </w:tc>
        <w:tc>
          <w:tcPr>
            <w:tcW w:w="479" w:type="pct"/>
            <w:vAlign w:val="center"/>
          </w:tcPr>
          <w:p w14:paraId="3F46974C"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38</w:t>
            </w:r>
          </w:p>
        </w:tc>
        <w:tc>
          <w:tcPr>
            <w:tcW w:w="641" w:type="pct"/>
            <w:vAlign w:val="center"/>
          </w:tcPr>
          <w:p w14:paraId="122709D7" w14:textId="6877A9A4"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132</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030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379</w:t>
            </w:r>
          </w:p>
        </w:tc>
        <w:tc>
          <w:tcPr>
            <w:tcW w:w="519" w:type="pct"/>
            <w:vAlign w:val="center"/>
          </w:tcPr>
          <w:p w14:paraId="7EB13EAA" w14:textId="765F1164"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003</w:t>
            </w:r>
          </w:p>
        </w:tc>
      </w:tr>
      <w:tr w:rsidR="00320910" w:rsidRPr="00E84F7D" w14:paraId="5943A8AD" w14:textId="77777777" w:rsidTr="008E6149">
        <w:trPr>
          <w:trHeight w:val="242"/>
        </w:trPr>
        <w:tc>
          <w:tcPr>
            <w:tcW w:w="1659" w:type="pct"/>
            <w:tcBorders>
              <w:bottom w:val="single" w:sz="4" w:space="0" w:color="auto"/>
            </w:tcBorders>
            <w:shd w:val="clear" w:color="auto" w:fill="auto"/>
            <w:noWrap/>
            <w:vAlign w:val="bottom"/>
          </w:tcPr>
          <w:p w14:paraId="43B27675"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21/06/2021-18/07/2021</w:t>
            </w:r>
          </w:p>
        </w:tc>
        <w:tc>
          <w:tcPr>
            <w:tcW w:w="479" w:type="pct"/>
            <w:tcBorders>
              <w:bottom w:val="single" w:sz="4" w:space="0" w:color="auto"/>
            </w:tcBorders>
            <w:shd w:val="clear" w:color="auto" w:fill="auto"/>
            <w:vAlign w:val="center"/>
          </w:tcPr>
          <w:p w14:paraId="30773C73"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120</w:t>
            </w:r>
          </w:p>
        </w:tc>
        <w:tc>
          <w:tcPr>
            <w:tcW w:w="704" w:type="pct"/>
            <w:tcBorders>
              <w:bottom w:val="single" w:sz="4" w:space="0" w:color="auto"/>
            </w:tcBorders>
            <w:shd w:val="clear" w:color="auto" w:fill="auto"/>
            <w:vAlign w:val="center"/>
          </w:tcPr>
          <w:p w14:paraId="6956C85D" w14:textId="2371000C"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56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286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337</w:t>
            </w:r>
          </w:p>
        </w:tc>
        <w:tc>
          <w:tcPr>
            <w:tcW w:w="519" w:type="pct"/>
            <w:tcBorders>
              <w:bottom w:val="single" w:sz="4" w:space="0" w:color="auto"/>
            </w:tcBorders>
            <w:shd w:val="clear" w:color="auto" w:fill="auto"/>
            <w:vAlign w:val="center"/>
          </w:tcPr>
          <w:p w14:paraId="415187A7" w14:textId="445B7D71"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02</w:t>
            </w:r>
          </w:p>
        </w:tc>
        <w:tc>
          <w:tcPr>
            <w:tcW w:w="479" w:type="pct"/>
            <w:tcBorders>
              <w:bottom w:val="single" w:sz="4" w:space="0" w:color="auto"/>
            </w:tcBorders>
            <w:vAlign w:val="center"/>
          </w:tcPr>
          <w:p w14:paraId="6FCDF2C6"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p>
        </w:tc>
        <w:tc>
          <w:tcPr>
            <w:tcW w:w="641" w:type="pct"/>
            <w:tcBorders>
              <w:bottom w:val="single" w:sz="4" w:space="0" w:color="auto"/>
            </w:tcBorders>
            <w:vAlign w:val="center"/>
          </w:tcPr>
          <w:p w14:paraId="4AE77F5A" w14:textId="21322FC8"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129</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442</w:t>
            </w:r>
          </w:p>
        </w:tc>
        <w:tc>
          <w:tcPr>
            <w:tcW w:w="519" w:type="pct"/>
            <w:tcBorders>
              <w:bottom w:val="single" w:sz="4" w:space="0" w:color="auto"/>
            </w:tcBorders>
            <w:vAlign w:val="center"/>
          </w:tcPr>
          <w:p w14:paraId="2E0D8F6A"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 </w:t>
            </w:r>
          </w:p>
        </w:tc>
      </w:tr>
      <w:tr w:rsidR="00320910" w:rsidRPr="00A227B4" w14:paraId="30A53BD3" w14:textId="77777777" w:rsidTr="008E6149">
        <w:trPr>
          <w:trHeight w:val="242"/>
        </w:trPr>
        <w:tc>
          <w:tcPr>
            <w:tcW w:w="1659" w:type="pct"/>
            <w:tcBorders>
              <w:bottom w:val="single" w:sz="4" w:space="0" w:color="auto"/>
            </w:tcBorders>
            <w:shd w:val="clear" w:color="auto" w:fill="auto"/>
            <w:noWrap/>
            <w:vAlign w:val="center"/>
          </w:tcPr>
          <w:p w14:paraId="13AAE684" w14:textId="77777777" w:rsidR="00320910" w:rsidRPr="00E84F7D" w:rsidRDefault="00320910" w:rsidP="008E6149">
            <w:pPr>
              <w:spacing w:after="0" w:line="240" w:lineRule="auto"/>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Categorie prioritarie per la vaccinazione</w:t>
            </w:r>
          </w:p>
        </w:tc>
        <w:tc>
          <w:tcPr>
            <w:tcW w:w="479" w:type="pct"/>
            <w:tcBorders>
              <w:bottom w:val="single" w:sz="4" w:space="0" w:color="auto"/>
            </w:tcBorders>
            <w:shd w:val="clear" w:color="auto" w:fill="auto"/>
            <w:vAlign w:val="center"/>
          </w:tcPr>
          <w:p w14:paraId="1E5A1E7C"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color w:val="000000"/>
                <w:sz w:val="18"/>
                <w:szCs w:val="18"/>
                <w:lang w:val="it-IT"/>
              </w:rPr>
              <w:t> </w:t>
            </w:r>
          </w:p>
        </w:tc>
        <w:tc>
          <w:tcPr>
            <w:tcW w:w="704" w:type="pct"/>
            <w:tcBorders>
              <w:bottom w:val="single" w:sz="4" w:space="0" w:color="auto"/>
            </w:tcBorders>
            <w:shd w:val="clear" w:color="auto" w:fill="auto"/>
            <w:vAlign w:val="center"/>
          </w:tcPr>
          <w:p w14:paraId="02504E4C"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color w:val="000000"/>
                <w:sz w:val="18"/>
                <w:szCs w:val="18"/>
                <w:lang w:val="it-IT"/>
              </w:rPr>
              <w:t> </w:t>
            </w:r>
          </w:p>
        </w:tc>
        <w:tc>
          <w:tcPr>
            <w:tcW w:w="519" w:type="pct"/>
            <w:tcBorders>
              <w:bottom w:val="single" w:sz="4" w:space="0" w:color="auto"/>
            </w:tcBorders>
            <w:shd w:val="clear" w:color="auto" w:fill="auto"/>
            <w:vAlign w:val="center"/>
          </w:tcPr>
          <w:p w14:paraId="5DD86584"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color w:val="000000"/>
                <w:sz w:val="18"/>
                <w:szCs w:val="18"/>
                <w:lang w:val="it-IT"/>
              </w:rPr>
              <w:t> </w:t>
            </w:r>
          </w:p>
        </w:tc>
        <w:tc>
          <w:tcPr>
            <w:tcW w:w="479" w:type="pct"/>
            <w:tcBorders>
              <w:bottom w:val="single" w:sz="4" w:space="0" w:color="auto"/>
            </w:tcBorders>
            <w:vAlign w:val="center"/>
          </w:tcPr>
          <w:p w14:paraId="51BB63BA"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color w:val="000000"/>
                <w:sz w:val="18"/>
                <w:szCs w:val="18"/>
                <w:lang w:val="it-IT"/>
              </w:rPr>
              <w:t> </w:t>
            </w:r>
          </w:p>
        </w:tc>
        <w:tc>
          <w:tcPr>
            <w:tcW w:w="641" w:type="pct"/>
            <w:tcBorders>
              <w:bottom w:val="single" w:sz="4" w:space="0" w:color="auto"/>
            </w:tcBorders>
            <w:vAlign w:val="center"/>
          </w:tcPr>
          <w:p w14:paraId="1CEDC132"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color w:val="000000"/>
                <w:sz w:val="18"/>
                <w:szCs w:val="18"/>
                <w:lang w:val="it-IT"/>
              </w:rPr>
              <w:t> </w:t>
            </w:r>
          </w:p>
        </w:tc>
        <w:tc>
          <w:tcPr>
            <w:tcW w:w="519" w:type="pct"/>
            <w:tcBorders>
              <w:bottom w:val="single" w:sz="4" w:space="0" w:color="auto"/>
            </w:tcBorders>
            <w:vAlign w:val="center"/>
          </w:tcPr>
          <w:p w14:paraId="681960D8"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color w:val="000000"/>
                <w:sz w:val="18"/>
                <w:szCs w:val="18"/>
                <w:lang w:val="it-IT"/>
              </w:rPr>
              <w:t> </w:t>
            </w:r>
          </w:p>
        </w:tc>
      </w:tr>
      <w:tr w:rsidR="00320910" w:rsidRPr="00E84F7D" w14:paraId="72DA3247" w14:textId="77777777" w:rsidTr="008E6149">
        <w:trPr>
          <w:trHeight w:val="242"/>
        </w:trPr>
        <w:tc>
          <w:tcPr>
            <w:tcW w:w="1659" w:type="pct"/>
            <w:tcBorders>
              <w:bottom w:val="single" w:sz="4" w:space="0" w:color="auto"/>
            </w:tcBorders>
            <w:shd w:val="clear" w:color="auto" w:fill="auto"/>
            <w:noWrap/>
            <w:vAlign w:val="bottom"/>
          </w:tcPr>
          <w:p w14:paraId="4DF4E312"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Operatori sanitari</w:t>
            </w:r>
          </w:p>
        </w:tc>
        <w:tc>
          <w:tcPr>
            <w:tcW w:w="479" w:type="pct"/>
            <w:tcBorders>
              <w:bottom w:val="single" w:sz="4" w:space="0" w:color="auto"/>
            </w:tcBorders>
            <w:shd w:val="clear" w:color="auto" w:fill="auto"/>
            <w:vAlign w:val="center"/>
          </w:tcPr>
          <w:p w14:paraId="46B80613"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285</w:t>
            </w:r>
          </w:p>
        </w:tc>
        <w:tc>
          <w:tcPr>
            <w:tcW w:w="704" w:type="pct"/>
            <w:tcBorders>
              <w:bottom w:val="single" w:sz="4" w:space="0" w:color="auto"/>
            </w:tcBorders>
            <w:shd w:val="clear" w:color="auto" w:fill="auto"/>
            <w:vAlign w:val="center"/>
          </w:tcPr>
          <w:p w14:paraId="1CCDED42" w14:textId="0895E9AF"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670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464</w:t>
            </w:r>
          </w:p>
        </w:tc>
        <w:tc>
          <w:tcPr>
            <w:tcW w:w="519" w:type="pct"/>
            <w:tcBorders>
              <w:bottom w:val="single" w:sz="4" w:space="0" w:color="auto"/>
            </w:tcBorders>
            <w:shd w:val="clear" w:color="auto" w:fill="auto"/>
            <w:vAlign w:val="center"/>
          </w:tcPr>
          <w:p w14:paraId="2313B51A" w14:textId="5CAED3E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14</w:t>
            </w:r>
          </w:p>
        </w:tc>
        <w:tc>
          <w:tcPr>
            <w:tcW w:w="479" w:type="pct"/>
            <w:tcBorders>
              <w:bottom w:val="single" w:sz="4" w:space="0" w:color="auto"/>
            </w:tcBorders>
            <w:vAlign w:val="center"/>
          </w:tcPr>
          <w:p w14:paraId="46175BCB"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190</w:t>
            </w:r>
          </w:p>
        </w:tc>
        <w:tc>
          <w:tcPr>
            <w:tcW w:w="641" w:type="pct"/>
            <w:tcBorders>
              <w:bottom w:val="single" w:sz="4" w:space="0" w:color="auto"/>
            </w:tcBorders>
            <w:vAlign w:val="center"/>
          </w:tcPr>
          <w:p w14:paraId="0929612D" w14:textId="29C57BBD"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224</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153</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517</w:t>
            </w:r>
          </w:p>
        </w:tc>
        <w:tc>
          <w:tcPr>
            <w:tcW w:w="519" w:type="pct"/>
            <w:tcBorders>
              <w:bottom w:val="single" w:sz="4" w:space="0" w:color="auto"/>
            </w:tcBorders>
            <w:vAlign w:val="center"/>
          </w:tcPr>
          <w:p w14:paraId="1381BA71" w14:textId="6BCB0DCE"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01</w:t>
            </w:r>
          </w:p>
        </w:tc>
      </w:tr>
      <w:tr w:rsidR="00320910" w:rsidRPr="00E84F7D" w14:paraId="06A6A744" w14:textId="77777777" w:rsidTr="008E6149">
        <w:trPr>
          <w:trHeight w:val="242"/>
        </w:trPr>
        <w:tc>
          <w:tcPr>
            <w:tcW w:w="1659" w:type="pct"/>
            <w:tcBorders>
              <w:bottom w:val="single" w:sz="4" w:space="0" w:color="auto"/>
            </w:tcBorders>
            <w:shd w:val="clear" w:color="auto" w:fill="auto"/>
            <w:noWrap/>
            <w:vAlign w:val="bottom"/>
          </w:tcPr>
          <w:p w14:paraId="37C7B498"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Ospiti RSA</w:t>
            </w:r>
          </w:p>
        </w:tc>
        <w:tc>
          <w:tcPr>
            <w:tcW w:w="479" w:type="pct"/>
            <w:tcBorders>
              <w:bottom w:val="single" w:sz="4" w:space="0" w:color="auto"/>
            </w:tcBorders>
            <w:shd w:val="clear" w:color="auto" w:fill="auto"/>
            <w:vAlign w:val="center"/>
          </w:tcPr>
          <w:p w14:paraId="03680D27"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646</w:t>
            </w:r>
          </w:p>
        </w:tc>
        <w:tc>
          <w:tcPr>
            <w:tcW w:w="704" w:type="pct"/>
            <w:tcBorders>
              <w:bottom w:val="single" w:sz="4" w:space="0" w:color="auto"/>
            </w:tcBorders>
            <w:shd w:val="clear" w:color="auto" w:fill="auto"/>
            <w:vAlign w:val="center"/>
          </w:tcPr>
          <w:p w14:paraId="49CD5427" w14:textId="2A942BF2"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3</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933</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569</w:t>
            </w:r>
          </w:p>
        </w:tc>
        <w:tc>
          <w:tcPr>
            <w:tcW w:w="519" w:type="pct"/>
            <w:tcBorders>
              <w:bottom w:val="single" w:sz="4" w:space="0" w:color="auto"/>
            </w:tcBorders>
            <w:shd w:val="clear" w:color="auto" w:fill="auto"/>
            <w:vAlign w:val="center"/>
          </w:tcPr>
          <w:p w14:paraId="652244D7" w14:textId="4B64A6EA"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64</w:t>
            </w:r>
          </w:p>
        </w:tc>
        <w:tc>
          <w:tcPr>
            <w:tcW w:w="479" w:type="pct"/>
            <w:tcBorders>
              <w:bottom w:val="single" w:sz="4" w:space="0" w:color="auto"/>
            </w:tcBorders>
            <w:vAlign w:val="center"/>
          </w:tcPr>
          <w:p w14:paraId="6EB7E2CA"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409</w:t>
            </w:r>
          </w:p>
        </w:tc>
        <w:tc>
          <w:tcPr>
            <w:tcW w:w="641" w:type="pct"/>
            <w:tcBorders>
              <w:bottom w:val="single" w:sz="4" w:space="0" w:color="auto"/>
            </w:tcBorders>
            <w:vAlign w:val="center"/>
          </w:tcPr>
          <w:p w14:paraId="1F8454CC" w14:textId="1A6630B4"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36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998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294</w:t>
            </w:r>
          </w:p>
        </w:tc>
        <w:tc>
          <w:tcPr>
            <w:tcW w:w="519" w:type="pct"/>
            <w:tcBorders>
              <w:bottom w:val="single" w:sz="4" w:space="0" w:color="auto"/>
            </w:tcBorders>
            <w:vAlign w:val="center"/>
          </w:tcPr>
          <w:p w14:paraId="32B5E1DD" w14:textId="38AEC585"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11</w:t>
            </w:r>
          </w:p>
        </w:tc>
      </w:tr>
      <w:tr w:rsidR="00320910" w:rsidRPr="00E84F7D" w14:paraId="02B39D08" w14:textId="77777777" w:rsidTr="008E6149">
        <w:trPr>
          <w:trHeight w:val="242"/>
        </w:trPr>
        <w:tc>
          <w:tcPr>
            <w:tcW w:w="1659" w:type="pct"/>
            <w:tcBorders>
              <w:bottom w:val="single" w:sz="4" w:space="0" w:color="auto"/>
            </w:tcBorders>
            <w:shd w:val="clear" w:color="auto" w:fill="auto"/>
            <w:noWrap/>
            <w:vAlign w:val="bottom"/>
          </w:tcPr>
          <w:p w14:paraId="426B9639"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Individui affetti da patologie</w:t>
            </w:r>
          </w:p>
        </w:tc>
        <w:tc>
          <w:tcPr>
            <w:tcW w:w="479" w:type="pct"/>
            <w:tcBorders>
              <w:bottom w:val="single" w:sz="4" w:space="0" w:color="auto"/>
            </w:tcBorders>
            <w:shd w:val="clear" w:color="auto" w:fill="auto"/>
            <w:vAlign w:val="center"/>
          </w:tcPr>
          <w:p w14:paraId="346EDD3A"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993</w:t>
            </w:r>
          </w:p>
        </w:tc>
        <w:tc>
          <w:tcPr>
            <w:tcW w:w="704" w:type="pct"/>
            <w:tcBorders>
              <w:bottom w:val="single" w:sz="4" w:space="0" w:color="auto"/>
            </w:tcBorders>
            <w:shd w:val="clear" w:color="auto" w:fill="auto"/>
            <w:vAlign w:val="center"/>
          </w:tcPr>
          <w:p w14:paraId="1C29CFB7" w14:textId="6C0661E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55</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992</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567</w:t>
            </w:r>
          </w:p>
        </w:tc>
        <w:tc>
          <w:tcPr>
            <w:tcW w:w="519" w:type="pct"/>
            <w:tcBorders>
              <w:bottom w:val="single" w:sz="4" w:space="0" w:color="auto"/>
            </w:tcBorders>
            <w:shd w:val="clear" w:color="auto" w:fill="auto"/>
            <w:vAlign w:val="center"/>
          </w:tcPr>
          <w:p w14:paraId="0B126A90" w14:textId="74A33A75"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18</w:t>
            </w:r>
          </w:p>
        </w:tc>
        <w:tc>
          <w:tcPr>
            <w:tcW w:w="479" w:type="pct"/>
            <w:tcBorders>
              <w:bottom w:val="single" w:sz="4" w:space="0" w:color="auto"/>
            </w:tcBorders>
            <w:vAlign w:val="center"/>
          </w:tcPr>
          <w:p w14:paraId="5C8EC9F0"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392</w:t>
            </w:r>
          </w:p>
        </w:tc>
        <w:tc>
          <w:tcPr>
            <w:tcW w:w="641" w:type="pct"/>
            <w:tcBorders>
              <w:bottom w:val="single" w:sz="4" w:space="0" w:color="auto"/>
            </w:tcBorders>
            <w:vAlign w:val="center"/>
          </w:tcPr>
          <w:p w14:paraId="6CE5DBCB" w14:textId="2CDEF595"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241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033</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074</w:t>
            </w:r>
          </w:p>
        </w:tc>
        <w:tc>
          <w:tcPr>
            <w:tcW w:w="519" w:type="pct"/>
            <w:tcBorders>
              <w:bottom w:val="single" w:sz="4" w:space="0" w:color="auto"/>
            </w:tcBorders>
            <w:vAlign w:val="center"/>
          </w:tcPr>
          <w:p w14:paraId="492DF242" w14:textId="5563DB93"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02</w:t>
            </w:r>
          </w:p>
        </w:tc>
      </w:tr>
      <w:tr w:rsidR="00320910" w:rsidRPr="00E84F7D" w14:paraId="63C1C965" w14:textId="77777777" w:rsidTr="008E6149">
        <w:trPr>
          <w:trHeight w:val="242"/>
        </w:trPr>
        <w:tc>
          <w:tcPr>
            <w:tcW w:w="1659" w:type="pct"/>
            <w:shd w:val="clear" w:color="auto" w:fill="auto"/>
            <w:noWrap/>
            <w:vAlign w:val="bottom"/>
          </w:tcPr>
          <w:p w14:paraId="3F9BE139"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Individui immunocompromessi</w:t>
            </w:r>
          </w:p>
        </w:tc>
        <w:tc>
          <w:tcPr>
            <w:tcW w:w="479" w:type="pct"/>
            <w:shd w:val="clear" w:color="auto" w:fill="auto"/>
            <w:vAlign w:val="center"/>
          </w:tcPr>
          <w:p w14:paraId="5A1C0CB8"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20</w:t>
            </w:r>
          </w:p>
        </w:tc>
        <w:tc>
          <w:tcPr>
            <w:tcW w:w="704" w:type="pct"/>
            <w:shd w:val="clear" w:color="auto" w:fill="auto"/>
            <w:vAlign w:val="center"/>
          </w:tcPr>
          <w:p w14:paraId="0120C47E" w14:textId="6D197C80"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988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191</w:t>
            </w:r>
          </w:p>
        </w:tc>
        <w:tc>
          <w:tcPr>
            <w:tcW w:w="519" w:type="pct"/>
            <w:shd w:val="clear" w:color="auto" w:fill="auto"/>
            <w:vAlign w:val="center"/>
          </w:tcPr>
          <w:p w14:paraId="611EBA7D" w14:textId="559E4F36"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20</w:t>
            </w:r>
          </w:p>
        </w:tc>
        <w:tc>
          <w:tcPr>
            <w:tcW w:w="479" w:type="pct"/>
            <w:vAlign w:val="center"/>
          </w:tcPr>
          <w:p w14:paraId="72E52766"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8</w:t>
            </w:r>
          </w:p>
        </w:tc>
        <w:tc>
          <w:tcPr>
            <w:tcW w:w="641" w:type="pct"/>
            <w:vAlign w:val="center"/>
          </w:tcPr>
          <w:p w14:paraId="5C255F20" w14:textId="6E44D1E0"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4</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206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478</w:t>
            </w:r>
          </w:p>
        </w:tc>
        <w:tc>
          <w:tcPr>
            <w:tcW w:w="519" w:type="pct"/>
            <w:vAlign w:val="center"/>
          </w:tcPr>
          <w:p w14:paraId="20BF3E32" w14:textId="5088064D"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02</w:t>
            </w:r>
          </w:p>
        </w:tc>
      </w:tr>
      <w:tr w:rsidR="00320910" w:rsidRPr="00E84F7D" w14:paraId="667A17E3" w14:textId="77777777" w:rsidTr="008E6149">
        <w:trPr>
          <w:trHeight w:val="242"/>
        </w:trPr>
        <w:tc>
          <w:tcPr>
            <w:tcW w:w="1659" w:type="pct"/>
            <w:shd w:val="clear" w:color="auto" w:fill="auto"/>
            <w:noWrap/>
            <w:vAlign w:val="bottom"/>
          </w:tcPr>
          <w:p w14:paraId="1C58219A"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Altre categorie prioritarie</w:t>
            </w:r>
          </w:p>
        </w:tc>
        <w:tc>
          <w:tcPr>
            <w:tcW w:w="479" w:type="pct"/>
            <w:shd w:val="clear" w:color="auto" w:fill="auto"/>
            <w:vAlign w:val="center"/>
          </w:tcPr>
          <w:p w14:paraId="7C0DD8B9" w14:textId="77777777" w:rsidR="00320910" w:rsidRPr="00E84F7D" w:rsidRDefault="00320910" w:rsidP="008E6149">
            <w:pPr>
              <w:spacing w:after="0" w:line="240" w:lineRule="auto"/>
              <w:jc w:val="right"/>
              <w:rPr>
                <w:rFonts w:ascii="Calibri" w:hAnsi="Calibri" w:cs="Calibri"/>
                <w:color w:val="000000"/>
                <w:sz w:val="18"/>
                <w:szCs w:val="18"/>
                <w:lang w:val="it-IT"/>
              </w:rPr>
            </w:pPr>
            <w:r w:rsidRPr="00E84F7D">
              <w:rPr>
                <w:rFonts w:ascii="Calibri" w:hAnsi="Calibri" w:cs="Calibri"/>
                <w:color w:val="000000"/>
                <w:sz w:val="18"/>
                <w:szCs w:val="18"/>
                <w:lang w:val="it-IT"/>
              </w:rPr>
              <w:t>208</w:t>
            </w:r>
          </w:p>
        </w:tc>
        <w:tc>
          <w:tcPr>
            <w:tcW w:w="704" w:type="pct"/>
            <w:shd w:val="clear" w:color="auto" w:fill="auto"/>
            <w:vAlign w:val="center"/>
          </w:tcPr>
          <w:p w14:paraId="3A4031DC" w14:textId="5A825346" w:rsidR="00320910" w:rsidRPr="00E84F7D" w:rsidRDefault="00320910" w:rsidP="008E6149">
            <w:pPr>
              <w:spacing w:after="0" w:line="240" w:lineRule="auto"/>
              <w:jc w:val="right"/>
              <w:rPr>
                <w:rFonts w:ascii="Calibri" w:hAnsi="Calibri" w:cs="Calibri"/>
                <w:color w:val="000000"/>
                <w:sz w:val="18"/>
                <w:szCs w:val="18"/>
                <w:lang w:val="it-IT"/>
              </w:rPr>
            </w:pPr>
            <w:r w:rsidRPr="00E84F7D">
              <w:rPr>
                <w:rFonts w:ascii="Calibri" w:hAnsi="Calibri" w:cs="Calibri"/>
                <w:color w:val="000000"/>
                <w:sz w:val="18"/>
                <w:szCs w:val="18"/>
                <w:lang w:val="it-IT"/>
              </w:rPr>
              <w:t>35</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458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799</w:t>
            </w:r>
          </w:p>
        </w:tc>
        <w:tc>
          <w:tcPr>
            <w:tcW w:w="519" w:type="pct"/>
            <w:shd w:val="clear" w:color="auto" w:fill="auto"/>
            <w:vAlign w:val="center"/>
          </w:tcPr>
          <w:p w14:paraId="4BC59A1D" w14:textId="1ADF2E7E" w:rsidR="00320910" w:rsidRPr="00E84F7D" w:rsidRDefault="00320910" w:rsidP="008E6149">
            <w:pPr>
              <w:spacing w:after="0" w:line="240" w:lineRule="auto"/>
              <w:jc w:val="right"/>
              <w:rPr>
                <w:rFonts w:ascii="Calibri" w:hAnsi="Calibri" w:cs="Calibri"/>
                <w:color w:val="000000"/>
                <w:sz w:val="18"/>
                <w:szCs w:val="18"/>
                <w:lang w:val="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06</w:t>
            </w:r>
          </w:p>
        </w:tc>
        <w:tc>
          <w:tcPr>
            <w:tcW w:w="479" w:type="pct"/>
            <w:vAlign w:val="bottom"/>
          </w:tcPr>
          <w:p w14:paraId="76B63887" w14:textId="77777777" w:rsidR="00320910" w:rsidRPr="00E84F7D" w:rsidRDefault="00320910" w:rsidP="008E6149">
            <w:pPr>
              <w:spacing w:after="0" w:line="240" w:lineRule="auto"/>
              <w:jc w:val="right"/>
              <w:rPr>
                <w:rFonts w:ascii="Calibri" w:hAnsi="Calibri" w:cs="Calibri"/>
                <w:color w:val="000000"/>
                <w:sz w:val="18"/>
                <w:szCs w:val="18"/>
                <w:lang w:val="it-IT"/>
              </w:rPr>
            </w:pPr>
            <w:r w:rsidRPr="00E84F7D">
              <w:rPr>
                <w:rFonts w:ascii="Calibri" w:hAnsi="Calibri" w:cs="Calibri"/>
                <w:color w:val="000000"/>
                <w:sz w:val="18"/>
                <w:szCs w:val="18"/>
                <w:lang w:val="it-IT"/>
              </w:rPr>
              <w:t>130</w:t>
            </w:r>
          </w:p>
        </w:tc>
        <w:tc>
          <w:tcPr>
            <w:tcW w:w="641" w:type="pct"/>
            <w:vAlign w:val="bottom"/>
          </w:tcPr>
          <w:p w14:paraId="47A385C2" w14:textId="1080652D" w:rsidR="00320910" w:rsidRPr="00E84F7D" w:rsidRDefault="00320910" w:rsidP="008E6149">
            <w:pPr>
              <w:spacing w:after="0" w:line="240" w:lineRule="auto"/>
              <w:jc w:val="right"/>
              <w:rPr>
                <w:rFonts w:ascii="Calibri" w:hAnsi="Calibri" w:cs="Calibri"/>
                <w:color w:val="000000"/>
                <w:sz w:val="18"/>
                <w:szCs w:val="18"/>
                <w:lang w:val="it-IT"/>
              </w:rPr>
            </w:pPr>
            <w:r w:rsidRPr="00E84F7D">
              <w:rPr>
                <w:rFonts w:ascii="Calibri" w:hAnsi="Calibri" w:cs="Calibri"/>
                <w:color w:val="000000"/>
                <w:sz w:val="18"/>
                <w:szCs w:val="18"/>
                <w:lang w:val="it-IT"/>
              </w:rPr>
              <w:t>159</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423</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086</w:t>
            </w:r>
          </w:p>
        </w:tc>
        <w:tc>
          <w:tcPr>
            <w:tcW w:w="519" w:type="pct"/>
            <w:vAlign w:val="center"/>
          </w:tcPr>
          <w:p w14:paraId="674F40E9" w14:textId="35EB8818" w:rsidR="00320910" w:rsidRPr="00E84F7D" w:rsidRDefault="00320910" w:rsidP="008E6149">
            <w:pPr>
              <w:spacing w:after="0" w:line="240" w:lineRule="auto"/>
              <w:jc w:val="right"/>
              <w:rPr>
                <w:rFonts w:ascii="Calibri" w:hAnsi="Calibri" w:cs="Calibri"/>
                <w:color w:val="000000"/>
                <w:sz w:val="18"/>
                <w:szCs w:val="18"/>
                <w:lang w:val="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01</w:t>
            </w:r>
          </w:p>
        </w:tc>
      </w:tr>
      <w:tr w:rsidR="00320910" w:rsidRPr="00E84F7D" w14:paraId="3E513F57" w14:textId="77777777" w:rsidTr="008E6149">
        <w:trPr>
          <w:trHeight w:val="242"/>
        </w:trPr>
        <w:tc>
          <w:tcPr>
            <w:tcW w:w="1659" w:type="pct"/>
            <w:tcBorders>
              <w:bottom w:val="single" w:sz="4" w:space="0" w:color="auto"/>
            </w:tcBorders>
            <w:shd w:val="clear" w:color="auto" w:fill="auto"/>
            <w:noWrap/>
            <w:vAlign w:val="bottom"/>
          </w:tcPr>
          <w:p w14:paraId="74F35938" w14:textId="77777777" w:rsidR="00320910" w:rsidRPr="00E84F7D" w:rsidRDefault="00320910" w:rsidP="008E6149">
            <w:pPr>
              <w:spacing w:after="0" w:line="240" w:lineRule="auto"/>
              <w:ind w:left="209"/>
              <w:rPr>
                <w:rFonts w:eastAsia="Times New Roman" w:cstheme="minorHAnsi"/>
                <w:b/>
                <w:strike/>
                <w:color w:val="000000" w:themeColor="text1"/>
                <w:sz w:val="18"/>
                <w:szCs w:val="18"/>
                <w:lang w:val="it-IT" w:eastAsia="it-IT"/>
              </w:rPr>
            </w:pPr>
            <w:r w:rsidRPr="00E84F7D">
              <w:rPr>
                <w:rFonts w:eastAsia="Times New Roman" w:cstheme="minorHAnsi"/>
                <w:color w:val="000000" w:themeColor="text1"/>
                <w:sz w:val="18"/>
                <w:szCs w:val="18"/>
                <w:lang w:val="it-IT" w:eastAsia="it-IT"/>
              </w:rPr>
              <w:t>Nessuna/non specificata</w:t>
            </w:r>
          </w:p>
        </w:tc>
        <w:tc>
          <w:tcPr>
            <w:tcW w:w="479" w:type="pct"/>
            <w:tcBorders>
              <w:bottom w:val="single" w:sz="4" w:space="0" w:color="auto"/>
            </w:tcBorders>
            <w:shd w:val="clear" w:color="auto" w:fill="auto"/>
            <w:vAlign w:val="center"/>
          </w:tcPr>
          <w:p w14:paraId="36B2BFEA" w14:textId="1621D260" w:rsidR="00320910" w:rsidRPr="00E84F7D" w:rsidRDefault="00320910" w:rsidP="008E6149">
            <w:pPr>
              <w:spacing w:after="0" w:line="240" w:lineRule="auto"/>
              <w:jc w:val="right"/>
              <w:rPr>
                <w:rFonts w:ascii="Calibri" w:hAnsi="Calibri" w:cs="Calibri"/>
                <w:color w:val="000000"/>
                <w:sz w:val="18"/>
                <w:szCs w:val="18"/>
                <w:lang w:val="it-IT"/>
              </w:rPr>
            </w:pPr>
            <w:r w:rsidRPr="00E84F7D">
              <w:rPr>
                <w:rFonts w:ascii="Calibri" w:hAnsi="Calibri" w:cs="Calibri"/>
                <w:color w:val="000000"/>
                <w:sz w:val="18"/>
                <w:szCs w:val="18"/>
                <w:lang w:val="it-IT"/>
              </w:rPr>
              <w:t>3</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965</w:t>
            </w:r>
          </w:p>
        </w:tc>
        <w:tc>
          <w:tcPr>
            <w:tcW w:w="704" w:type="pct"/>
            <w:tcBorders>
              <w:bottom w:val="single" w:sz="4" w:space="0" w:color="auto"/>
            </w:tcBorders>
            <w:shd w:val="clear" w:color="auto" w:fill="auto"/>
            <w:vAlign w:val="center"/>
          </w:tcPr>
          <w:p w14:paraId="0279568B" w14:textId="217017C2" w:rsidR="00320910" w:rsidRPr="00E84F7D" w:rsidRDefault="00320910" w:rsidP="008E6149">
            <w:pPr>
              <w:spacing w:after="0" w:line="240" w:lineRule="auto"/>
              <w:jc w:val="right"/>
              <w:rPr>
                <w:rFonts w:ascii="Calibri" w:hAnsi="Calibri" w:cs="Calibri"/>
                <w:color w:val="000000"/>
                <w:sz w:val="18"/>
                <w:szCs w:val="18"/>
                <w:lang w:val="it-IT"/>
              </w:rPr>
            </w:pPr>
            <w:r w:rsidRPr="00E84F7D">
              <w:rPr>
                <w:rFonts w:ascii="Calibri" w:hAnsi="Calibri" w:cs="Calibri"/>
                <w:color w:val="000000"/>
                <w:sz w:val="18"/>
                <w:szCs w:val="18"/>
                <w:lang w:val="it-IT"/>
              </w:rPr>
              <w:t>249</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698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642</w:t>
            </w:r>
          </w:p>
        </w:tc>
        <w:tc>
          <w:tcPr>
            <w:tcW w:w="519" w:type="pct"/>
            <w:tcBorders>
              <w:bottom w:val="single" w:sz="4" w:space="0" w:color="auto"/>
            </w:tcBorders>
            <w:shd w:val="clear" w:color="auto" w:fill="auto"/>
            <w:vAlign w:val="center"/>
          </w:tcPr>
          <w:p w14:paraId="03F9C082" w14:textId="59B89B90" w:rsidR="00320910" w:rsidRPr="00E84F7D" w:rsidRDefault="00320910" w:rsidP="008E6149">
            <w:pPr>
              <w:spacing w:after="0" w:line="240" w:lineRule="auto"/>
              <w:jc w:val="right"/>
              <w:rPr>
                <w:rFonts w:ascii="Calibri" w:hAnsi="Calibri" w:cs="Calibri"/>
                <w:color w:val="000000"/>
                <w:sz w:val="18"/>
                <w:szCs w:val="18"/>
                <w:lang w:val="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16</w:t>
            </w:r>
          </w:p>
        </w:tc>
        <w:tc>
          <w:tcPr>
            <w:tcW w:w="479" w:type="pct"/>
            <w:tcBorders>
              <w:bottom w:val="single" w:sz="4" w:space="0" w:color="auto"/>
            </w:tcBorders>
            <w:vAlign w:val="bottom"/>
          </w:tcPr>
          <w:p w14:paraId="1F5ADC93" w14:textId="304744C9" w:rsidR="00320910" w:rsidRPr="00E84F7D" w:rsidRDefault="00320910" w:rsidP="008E6149">
            <w:pPr>
              <w:spacing w:after="0" w:line="240" w:lineRule="auto"/>
              <w:jc w:val="right"/>
              <w:rPr>
                <w:rFonts w:ascii="Calibri" w:hAnsi="Calibri" w:cs="Calibri"/>
                <w:color w:val="000000"/>
                <w:sz w:val="18"/>
                <w:szCs w:val="18"/>
                <w:lang w:val="it-IT"/>
              </w:rPr>
            </w:pPr>
            <w:r w:rsidRPr="00E84F7D">
              <w:rPr>
                <w:rFonts w:ascii="Calibri" w:hAnsi="Calibri" w:cs="Calibri"/>
                <w:color w:val="000000"/>
                <w:sz w:val="18"/>
                <w:szCs w:val="18"/>
                <w:lang w:val="it-IT"/>
              </w:rPr>
              <w:t>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764</w:t>
            </w:r>
          </w:p>
        </w:tc>
        <w:tc>
          <w:tcPr>
            <w:tcW w:w="641" w:type="pct"/>
            <w:tcBorders>
              <w:bottom w:val="single" w:sz="4" w:space="0" w:color="auto"/>
            </w:tcBorders>
            <w:vAlign w:val="bottom"/>
          </w:tcPr>
          <w:p w14:paraId="7BCCB75A" w14:textId="79067493" w:rsidR="00320910" w:rsidRPr="00E84F7D" w:rsidRDefault="00320910" w:rsidP="008E6149">
            <w:pPr>
              <w:spacing w:after="0" w:line="240" w:lineRule="auto"/>
              <w:jc w:val="right"/>
              <w:rPr>
                <w:rFonts w:ascii="Calibri" w:hAnsi="Calibri" w:cs="Calibri"/>
                <w:color w:val="000000"/>
                <w:sz w:val="18"/>
                <w:szCs w:val="18"/>
                <w:lang w:val="it-IT"/>
              </w:rPr>
            </w:pPr>
            <w:r w:rsidRPr="00E84F7D">
              <w:rPr>
                <w:rFonts w:ascii="Calibri" w:hAnsi="Calibri" w:cs="Calibri"/>
                <w:color w:val="000000"/>
                <w:sz w:val="18"/>
                <w:szCs w:val="18"/>
                <w:lang w:val="it-IT"/>
              </w:rPr>
              <w:t>686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146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048</w:t>
            </w:r>
          </w:p>
        </w:tc>
        <w:tc>
          <w:tcPr>
            <w:tcW w:w="519" w:type="pct"/>
            <w:tcBorders>
              <w:bottom w:val="single" w:sz="4" w:space="0" w:color="auto"/>
            </w:tcBorders>
            <w:vAlign w:val="center"/>
          </w:tcPr>
          <w:p w14:paraId="77A2DEFB" w14:textId="103B4A32" w:rsidR="00320910" w:rsidRPr="00E84F7D" w:rsidRDefault="00320910" w:rsidP="008E6149">
            <w:pPr>
              <w:spacing w:after="0" w:line="240" w:lineRule="auto"/>
              <w:jc w:val="right"/>
              <w:rPr>
                <w:rFonts w:ascii="Calibri" w:hAnsi="Calibri" w:cs="Calibri"/>
                <w:color w:val="000000"/>
                <w:sz w:val="18"/>
                <w:szCs w:val="18"/>
                <w:lang w:val="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03</w:t>
            </w:r>
          </w:p>
        </w:tc>
      </w:tr>
    </w:tbl>
    <w:p w14:paraId="4DF7C5B2" w14:textId="296CF97A" w:rsidR="00320910" w:rsidRPr="00FE5BA1" w:rsidRDefault="00320910" w:rsidP="00320910">
      <w:pPr>
        <w:pStyle w:val="Testonotadichiusura"/>
        <w:spacing w:before="40"/>
        <w:ind w:left="360"/>
        <w:rPr>
          <w:rFonts w:eastAsia="Times New Roman" w:cstheme="minorHAnsi"/>
          <w:bCs/>
          <w:color w:val="000000" w:themeColor="text1"/>
          <w:sz w:val="18"/>
          <w:szCs w:val="18"/>
          <w:lang w:eastAsia="it-IT"/>
        </w:rPr>
      </w:pPr>
      <w:r w:rsidRPr="00FE5BA1">
        <w:rPr>
          <w:rFonts w:cstheme="minorHAnsi"/>
          <w:iCs/>
          <w:color w:val="000000" w:themeColor="text1"/>
        </w:rPr>
        <w:t>*</w:t>
      </w:r>
      <w:r w:rsidRPr="00FE5BA1">
        <w:rPr>
          <w:rFonts w:eastAsia="Times New Roman" w:cstheme="minorHAnsi"/>
          <w:bCs/>
          <w:color w:val="000000" w:themeColor="text1"/>
          <w:sz w:val="18"/>
          <w:szCs w:val="18"/>
          <w:lang w:eastAsia="it-IT"/>
        </w:rPr>
        <w:t>Numero di ricoveri/giorni</w:t>
      </w:r>
      <w:r w:rsidR="002A1FBD">
        <w:rPr>
          <w:rFonts w:eastAsia="Times New Roman" w:cstheme="minorHAnsi"/>
          <w:bCs/>
          <w:color w:val="000000" w:themeColor="text1"/>
          <w:sz w:val="18"/>
          <w:szCs w:val="18"/>
          <w:lang w:eastAsia="it-IT"/>
        </w:rPr>
        <w:t xml:space="preserve"> </w:t>
      </w:r>
      <w:r w:rsidRPr="00FE5BA1">
        <w:rPr>
          <w:rFonts w:eastAsia="Times New Roman" w:cstheme="minorHAnsi"/>
          <w:bCs/>
          <w:color w:val="000000" w:themeColor="text1"/>
          <w:sz w:val="18"/>
          <w:szCs w:val="18"/>
          <w:lang w:eastAsia="it-IT"/>
        </w:rPr>
        <w:t>persona</w:t>
      </w:r>
    </w:p>
    <w:p w14:paraId="35681661" w14:textId="77777777" w:rsidR="00320910" w:rsidRPr="00FE5BA1" w:rsidRDefault="00320910" w:rsidP="00320910">
      <w:pPr>
        <w:rPr>
          <w:rFonts w:eastAsia="Times New Roman" w:cstheme="minorHAnsi"/>
          <w:b/>
          <w:color w:val="000000" w:themeColor="text1"/>
          <w:lang w:val="it-IT" w:eastAsia="da-DK"/>
        </w:rPr>
      </w:pPr>
      <w:r w:rsidRPr="00FE5BA1">
        <w:rPr>
          <w:rFonts w:cstheme="minorHAnsi"/>
          <w:b/>
          <w:color w:val="000000" w:themeColor="text1"/>
          <w:lang w:val="it-IT" w:eastAsia="da-DK"/>
        </w:rPr>
        <w:br w:type="page"/>
      </w:r>
    </w:p>
    <w:p w14:paraId="752F6379" w14:textId="4978AE1D" w:rsidR="00320910" w:rsidRPr="00E84F7D" w:rsidRDefault="00320910" w:rsidP="00320910">
      <w:pPr>
        <w:pStyle w:val="NormaleWeb"/>
        <w:spacing w:after="60"/>
        <w:jc w:val="both"/>
        <w:rPr>
          <w:rFonts w:asciiTheme="minorHAnsi" w:hAnsiTheme="minorHAnsi" w:cstheme="minorHAnsi"/>
          <w:color w:val="000000" w:themeColor="text1"/>
          <w:sz w:val="22"/>
          <w:lang w:eastAsia="da-DK"/>
        </w:rPr>
      </w:pPr>
      <w:r w:rsidRPr="00FE5BA1">
        <w:rPr>
          <w:rFonts w:asciiTheme="minorHAnsi" w:hAnsiTheme="minorHAnsi" w:cstheme="minorHAnsi"/>
          <w:b/>
          <w:color w:val="000000" w:themeColor="text1"/>
          <w:sz w:val="22"/>
          <w:szCs w:val="22"/>
          <w:lang w:eastAsia="da-DK"/>
        </w:rPr>
        <w:lastRenderedPageBreak/>
        <w:t xml:space="preserve">Tabella </w:t>
      </w:r>
      <w:r>
        <w:rPr>
          <w:rFonts w:asciiTheme="minorHAnsi" w:hAnsiTheme="minorHAnsi" w:cstheme="minorHAnsi"/>
          <w:b/>
          <w:color w:val="000000" w:themeColor="text1"/>
          <w:sz w:val="22"/>
          <w:szCs w:val="22"/>
          <w:lang w:eastAsia="da-DK"/>
        </w:rPr>
        <w:t>3</w:t>
      </w:r>
      <w:r w:rsidRPr="00FE5BA1">
        <w:rPr>
          <w:rFonts w:asciiTheme="minorHAnsi" w:hAnsiTheme="minorHAnsi" w:cstheme="minorHAnsi"/>
          <w:b/>
          <w:color w:val="000000" w:themeColor="text1"/>
          <w:sz w:val="22"/>
          <w:szCs w:val="22"/>
          <w:lang w:eastAsia="da-DK"/>
        </w:rPr>
        <w:t xml:space="preserve">. </w:t>
      </w:r>
      <w:r w:rsidRPr="00E84F7D">
        <w:rPr>
          <w:rFonts w:asciiTheme="minorHAnsi" w:hAnsiTheme="minorHAnsi" w:cstheme="minorHAnsi"/>
          <w:color w:val="000000" w:themeColor="text1"/>
          <w:sz w:val="22"/>
          <w:szCs w:val="22"/>
          <w:lang w:eastAsia="da-DK"/>
        </w:rPr>
        <w:t>Incidenza di ammissione in terapia intensiva</w:t>
      </w:r>
      <w:r>
        <w:rPr>
          <w:rFonts w:asciiTheme="minorHAnsi" w:hAnsiTheme="minorHAnsi" w:cstheme="minorHAnsi"/>
          <w:color w:val="000000" w:themeColor="text1"/>
          <w:sz w:val="22"/>
          <w:szCs w:val="22"/>
          <w:lang w:eastAsia="da-DK"/>
        </w:rPr>
        <w:t xml:space="preserve"> (TI)</w:t>
      </w:r>
      <w:r w:rsidRPr="00E84F7D">
        <w:rPr>
          <w:rFonts w:asciiTheme="minorHAnsi" w:hAnsiTheme="minorHAnsi" w:cstheme="minorHAnsi"/>
          <w:color w:val="000000" w:themeColor="text1"/>
          <w:sz w:val="22"/>
          <w:szCs w:val="22"/>
          <w:lang w:eastAsia="da-DK"/>
        </w:rPr>
        <w:t xml:space="preserve"> </w:t>
      </w:r>
      <w:r w:rsidR="00EA6170">
        <w:rPr>
          <w:rFonts w:asciiTheme="minorHAnsi" w:hAnsiTheme="minorHAnsi" w:cstheme="minorHAnsi"/>
          <w:color w:val="000000" w:themeColor="text1"/>
          <w:sz w:val="22"/>
          <w:szCs w:val="22"/>
          <w:lang w:eastAsia="da-DK"/>
        </w:rPr>
        <w:t>successiva a diagnosi di COVID-19</w:t>
      </w:r>
      <w:r w:rsidR="00EA6170" w:rsidRPr="00E84F7D">
        <w:rPr>
          <w:rFonts w:asciiTheme="minorHAnsi" w:hAnsiTheme="minorHAnsi" w:cstheme="minorHAnsi"/>
          <w:color w:val="000000" w:themeColor="text1"/>
          <w:sz w:val="22"/>
          <w:szCs w:val="22"/>
          <w:lang w:eastAsia="da-DK"/>
        </w:rPr>
        <w:t xml:space="preserve"> </w:t>
      </w:r>
      <w:r w:rsidRPr="00E84F7D">
        <w:rPr>
          <w:rFonts w:asciiTheme="minorHAnsi" w:hAnsiTheme="minorHAnsi" w:cstheme="minorHAnsi"/>
          <w:color w:val="000000" w:themeColor="text1"/>
          <w:sz w:val="22"/>
          <w:szCs w:val="22"/>
          <w:lang w:eastAsia="da-DK"/>
        </w:rPr>
        <w:t>in persone vaccinate</w:t>
      </w:r>
      <w:r>
        <w:rPr>
          <w:rFonts w:asciiTheme="minorHAnsi" w:hAnsiTheme="minorHAnsi" w:cstheme="minorHAnsi"/>
          <w:color w:val="000000" w:themeColor="text1"/>
          <w:sz w:val="22"/>
          <w:szCs w:val="22"/>
          <w:lang w:eastAsia="da-DK"/>
        </w:rPr>
        <w:t xml:space="preserve"> con i vaccini Cominarty o Spikevax</w:t>
      </w:r>
      <w:r w:rsidRPr="00E84F7D">
        <w:rPr>
          <w:rFonts w:asciiTheme="minorHAnsi" w:hAnsiTheme="minorHAnsi" w:cstheme="minorHAnsi"/>
          <w:color w:val="000000" w:themeColor="text1"/>
          <w:sz w:val="22"/>
          <w:szCs w:val="22"/>
          <w:lang w:eastAsia="da-DK"/>
        </w:rPr>
        <w:t xml:space="preserve"> prima del </w:t>
      </w:r>
      <w:r>
        <w:rPr>
          <w:rFonts w:asciiTheme="minorHAnsi" w:hAnsiTheme="minorHAnsi" w:cstheme="minorHAnsi"/>
          <w:color w:val="000000" w:themeColor="text1"/>
          <w:sz w:val="22"/>
          <w:szCs w:val="22"/>
          <w:lang w:eastAsia="da-DK"/>
        </w:rPr>
        <w:t>18 luglio</w:t>
      </w:r>
      <w:r w:rsidRPr="00E84F7D">
        <w:rPr>
          <w:rFonts w:asciiTheme="minorHAnsi" w:hAnsiTheme="minorHAnsi" w:cstheme="minorHAnsi"/>
          <w:color w:val="000000" w:themeColor="text1"/>
          <w:sz w:val="22"/>
          <w:szCs w:val="22"/>
          <w:lang w:eastAsia="da-DK"/>
        </w:rPr>
        <w:t xml:space="preserve"> 2021</w:t>
      </w:r>
      <w:r>
        <w:rPr>
          <w:rFonts w:asciiTheme="minorHAnsi" w:hAnsiTheme="minorHAnsi" w:cstheme="minorHAnsi"/>
          <w:color w:val="000000" w:themeColor="text1"/>
          <w:sz w:val="22"/>
          <w:szCs w:val="22"/>
          <w:lang w:eastAsia="da-DK"/>
        </w:rPr>
        <w:t xml:space="preserve"> </w:t>
      </w:r>
    </w:p>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0"/>
        <w:gridCol w:w="1359"/>
        <w:gridCol w:w="1812"/>
        <w:gridCol w:w="1640"/>
        <w:gridCol w:w="1360"/>
        <w:gridCol w:w="1815"/>
        <w:gridCol w:w="1466"/>
      </w:tblGrid>
      <w:tr w:rsidR="00320910" w:rsidRPr="00A227B4" w14:paraId="19395BC5" w14:textId="77777777" w:rsidTr="008E6149">
        <w:trPr>
          <w:trHeight w:val="242"/>
        </w:trPr>
        <w:tc>
          <w:tcPr>
            <w:tcW w:w="1588" w:type="pct"/>
            <w:tcBorders>
              <w:bottom w:val="nil"/>
            </w:tcBorders>
            <w:shd w:val="clear" w:color="auto" w:fill="D9D9D9" w:themeFill="background1" w:themeFillShade="D9"/>
            <w:noWrap/>
            <w:vAlign w:val="center"/>
          </w:tcPr>
          <w:p w14:paraId="360809CD" w14:textId="77777777" w:rsidR="00320910" w:rsidRPr="00E84F7D" w:rsidRDefault="00320910" w:rsidP="008E6149">
            <w:pPr>
              <w:spacing w:after="0" w:line="240" w:lineRule="auto"/>
              <w:rPr>
                <w:rFonts w:eastAsia="Times New Roman" w:cstheme="minorHAnsi"/>
                <w:b/>
                <w:bCs/>
                <w:color w:val="000000" w:themeColor="text1"/>
                <w:sz w:val="18"/>
                <w:szCs w:val="18"/>
                <w:lang w:val="it-IT" w:eastAsia="it-IT"/>
              </w:rPr>
            </w:pPr>
          </w:p>
        </w:tc>
        <w:tc>
          <w:tcPr>
            <w:tcW w:w="1737" w:type="pct"/>
            <w:gridSpan w:val="3"/>
            <w:tcBorders>
              <w:bottom w:val="single" w:sz="4" w:space="0" w:color="auto"/>
            </w:tcBorders>
            <w:shd w:val="clear" w:color="auto" w:fill="D9D9D9" w:themeFill="background1" w:themeFillShade="D9"/>
            <w:vAlign w:val="center"/>
          </w:tcPr>
          <w:p w14:paraId="6D6CC63A"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0-14 giorni dalla somministrazione della 1° dose (riferimento)</w:t>
            </w:r>
          </w:p>
        </w:tc>
        <w:tc>
          <w:tcPr>
            <w:tcW w:w="1675" w:type="pct"/>
            <w:gridSpan w:val="3"/>
            <w:tcBorders>
              <w:bottom w:val="single" w:sz="4" w:space="0" w:color="auto"/>
            </w:tcBorders>
            <w:shd w:val="clear" w:color="auto" w:fill="D9D9D9" w:themeFill="background1" w:themeFillShade="D9"/>
          </w:tcPr>
          <w:p w14:paraId="00FD873A"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0+ giorni dalla somministrazione della 2° dose</w:t>
            </w:r>
          </w:p>
        </w:tc>
      </w:tr>
      <w:tr w:rsidR="00320910" w:rsidRPr="00E84F7D" w14:paraId="2ABD74CE" w14:textId="77777777" w:rsidTr="008E6149">
        <w:trPr>
          <w:trHeight w:val="242"/>
        </w:trPr>
        <w:tc>
          <w:tcPr>
            <w:tcW w:w="1588" w:type="pct"/>
            <w:tcBorders>
              <w:top w:val="nil"/>
              <w:bottom w:val="single" w:sz="4" w:space="0" w:color="auto"/>
            </w:tcBorders>
            <w:shd w:val="clear" w:color="auto" w:fill="D9D9D9" w:themeFill="background1" w:themeFillShade="D9"/>
            <w:noWrap/>
            <w:vAlign w:val="center"/>
          </w:tcPr>
          <w:p w14:paraId="488241AD" w14:textId="77777777" w:rsidR="00320910" w:rsidRPr="00E84F7D" w:rsidRDefault="00320910" w:rsidP="008E6149">
            <w:pPr>
              <w:spacing w:after="0" w:line="240" w:lineRule="auto"/>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Caratteristiche della popolazione in studio</w:t>
            </w:r>
          </w:p>
        </w:tc>
        <w:tc>
          <w:tcPr>
            <w:tcW w:w="491" w:type="pct"/>
            <w:tcBorders>
              <w:bottom w:val="single" w:sz="4" w:space="0" w:color="auto"/>
            </w:tcBorders>
            <w:shd w:val="clear" w:color="auto" w:fill="D9D9D9" w:themeFill="background1" w:themeFillShade="D9"/>
            <w:vAlign w:val="center"/>
          </w:tcPr>
          <w:p w14:paraId="481E5629" w14:textId="77777777" w:rsidR="00320910" w:rsidRPr="00E84F7D" w:rsidRDefault="00320910" w:rsidP="008E6149">
            <w:pPr>
              <w:spacing w:after="0" w:line="240" w:lineRule="auto"/>
              <w:jc w:val="right"/>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Ricoveri in TI</w:t>
            </w:r>
          </w:p>
        </w:tc>
        <w:tc>
          <w:tcPr>
            <w:tcW w:w="654" w:type="pct"/>
            <w:tcBorders>
              <w:bottom w:val="single" w:sz="4" w:space="0" w:color="auto"/>
            </w:tcBorders>
            <w:shd w:val="clear" w:color="auto" w:fill="D9D9D9" w:themeFill="background1" w:themeFillShade="D9"/>
            <w:vAlign w:val="center"/>
          </w:tcPr>
          <w:p w14:paraId="4EDC4FFD" w14:textId="54AB7FBC" w:rsidR="00320910" w:rsidRPr="00E84F7D" w:rsidRDefault="00320910" w:rsidP="008E6149">
            <w:pPr>
              <w:spacing w:after="0" w:line="240" w:lineRule="auto"/>
              <w:jc w:val="right"/>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Giorni</w:t>
            </w:r>
            <w:r w:rsidR="002A1FBD">
              <w:rPr>
                <w:rFonts w:eastAsia="Times New Roman" w:cstheme="minorHAnsi"/>
                <w:b/>
                <w:bCs/>
                <w:color w:val="000000" w:themeColor="text1"/>
                <w:sz w:val="18"/>
                <w:szCs w:val="18"/>
                <w:lang w:val="it-IT" w:eastAsia="it-IT"/>
              </w:rPr>
              <w:t xml:space="preserve"> </w:t>
            </w:r>
            <w:r w:rsidRPr="00E84F7D">
              <w:rPr>
                <w:rFonts w:eastAsia="Times New Roman" w:cstheme="minorHAnsi"/>
                <w:b/>
                <w:bCs/>
                <w:color w:val="000000" w:themeColor="text1"/>
                <w:sz w:val="18"/>
                <w:szCs w:val="18"/>
                <w:lang w:val="it-IT" w:eastAsia="it-IT"/>
              </w:rPr>
              <w:t>persona</w:t>
            </w:r>
          </w:p>
        </w:tc>
        <w:tc>
          <w:tcPr>
            <w:tcW w:w="591" w:type="pct"/>
            <w:tcBorders>
              <w:bottom w:val="single" w:sz="4" w:space="0" w:color="auto"/>
            </w:tcBorders>
            <w:shd w:val="clear" w:color="auto" w:fill="D9D9D9" w:themeFill="background1" w:themeFillShade="D9"/>
          </w:tcPr>
          <w:p w14:paraId="74F588BB" w14:textId="77777777" w:rsidR="00320910" w:rsidRPr="00E84F7D" w:rsidRDefault="00320910" w:rsidP="008E6149">
            <w:pPr>
              <w:spacing w:after="0" w:line="240" w:lineRule="auto"/>
              <w:jc w:val="right"/>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Incidenza</w:t>
            </w:r>
          </w:p>
          <w:p w14:paraId="0A8B5663" w14:textId="77777777" w:rsidR="00320910" w:rsidRPr="00E84F7D" w:rsidRDefault="00320910" w:rsidP="008E6149">
            <w:pPr>
              <w:spacing w:after="0" w:line="240" w:lineRule="auto"/>
              <w:jc w:val="right"/>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per 10.000 giorni persona*</w:t>
            </w:r>
          </w:p>
        </w:tc>
        <w:tc>
          <w:tcPr>
            <w:tcW w:w="491" w:type="pct"/>
            <w:tcBorders>
              <w:bottom w:val="single" w:sz="4" w:space="0" w:color="auto"/>
            </w:tcBorders>
            <w:shd w:val="clear" w:color="auto" w:fill="D9D9D9" w:themeFill="background1" w:themeFillShade="D9"/>
            <w:vAlign w:val="center"/>
          </w:tcPr>
          <w:p w14:paraId="1E7DCF89" w14:textId="77777777" w:rsidR="00320910" w:rsidRPr="00E84F7D" w:rsidRDefault="00320910" w:rsidP="008E6149">
            <w:pPr>
              <w:spacing w:after="0" w:line="240" w:lineRule="auto"/>
              <w:jc w:val="right"/>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Ricoveri in TI</w:t>
            </w:r>
          </w:p>
        </w:tc>
        <w:tc>
          <w:tcPr>
            <w:tcW w:w="655" w:type="pct"/>
            <w:tcBorders>
              <w:bottom w:val="single" w:sz="4" w:space="0" w:color="auto"/>
            </w:tcBorders>
            <w:shd w:val="clear" w:color="auto" w:fill="D9D9D9" w:themeFill="background1" w:themeFillShade="D9"/>
            <w:vAlign w:val="center"/>
          </w:tcPr>
          <w:p w14:paraId="5B8F7DC1" w14:textId="52502E01" w:rsidR="00320910" w:rsidRPr="00E84F7D" w:rsidRDefault="00320910" w:rsidP="008E6149">
            <w:pPr>
              <w:spacing w:after="0" w:line="240" w:lineRule="auto"/>
              <w:jc w:val="right"/>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Giorni</w:t>
            </w:r>
            <w:r w:rsidR="002A1FBD">
              <w:rPr>
                <w:rFonts w:eastAsia="Times New Roman" w:cstheme="minorHAnsi"/>
                <w:b/>
                <w:bCs/>
                <w:color w:val="000000" w:themeColor="text1"/>
                <w:sz w:val="18"/>
                <w:szCs w:val="18"/>
                <w:lang w:val="it-IT" w:eastAsia="it-IT"/>
              </w:rPr>
              <w:t xml:space="preserve"> </w:t>
            </w:r>
            <w:r w:rsidRPr="00E84F7D">
              <w:rPr>
                <w:rFonts w:eastAsia="Times New Roman" w:cstheme="minorHAnsi"/>
                <w:b/>
                <w:bCs/>
                <w:color w:val="000000" w:themeColor="text1"/>
                <w:sz w:val="18"/>
                <w:szCs w:val="18"/>
                <w:lang w:val="it-IT" w:eastAsia="it-IT"/>
              </w:rPr>
              <w:t>persona</w:t>
            </w:r>
          </w:p>
        </w:tc>
        <w:tc>
          <w:tcPr>
            <w:tcW w:w="529" w:type="pct"/>
            <w:tcBorders>
              <w:bottom w:val="single" w:sz="4" w:space="0" w:color="auto"/>
            </w:tcBorders>
            <w:shd w:val="clear" w:color="auto" w:fill="D9D9D9" w:themeFill="background1" w:themeFillShade="D9"/>
          </w:tcPr>
          <w:p w14:paraId="2AD83DCA" w14:textId="77777777" w:rsidR="00320910" w:rsidRPr="00E84F7D" w:rsidRDefault="00320910" w:rsidP="008E6149">
            <w:pPr>
              <w:spacing w:after="0" w:line="240" w:lineRule="auto"/>
              <w:jc w:val="right"/>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Incidenza</w:t>
            </w:r>
          </w:p>
          <w:p w14:paraId="44C73EB5" w14:textId="77777777" w:rsidR="00320910" w:rsidRPr="00E84F7D" w:rsidRDefault="00320910" w:rsidP="008E6149">
            <w:pPr>
              <w:spacing w:after="0" w:line="240" w:lineRule="auto"/>
              <w:jc w:val="right"/>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per 10.000 giorni persona*</w:t>
            </w:r>
          </w:p>
        </w:tc>
      </w:tr>
      <w:tr w:rsidR="00320910" w:rsidRPr="00E84F7D" w14:paraId="42770022" w14:textId="77777777" w:rsidTr="008E6149">
        <w:trPr>
          <w:trHeight w:val="242"/>
        </w:trPr>
        <w:tc>
          <w:tcPr>
            <w:tcW w:w="1588" w:type="pct"/>
            <w:tcBorders>
              <w:bottom w:val="single" w:sz="4" w:space="0" w:color="auto"/>
            </w:tcBorders>
            <w:shd w:val="clear" w:color="auto" w:fill="auto"/>
            <w:noWrap/>
            <w:vAlign w:val="center"/>
          </w:tcPr>
          <w:p w14:paraId="4136CE84" w14:textId="77777777" w:rsidR="00320910" w:rsidRPr="00E84F7D" w:rsidRDefault="00320910" w:rsidP="008E6149">
            <w:pPr>
              <w:spacing w:after="0" w:line="240" w:lineRule="auto"/>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Totale</w:t>
            </w:r>
          </w:p>
        </w:tc>
        <w:tc>
          <w:tcPr>
            <w:tcW w:w="491" w:type="pct"/>
            <w:tcBorders>
              <w:bottom w:val="single" w:sz="4" w:space="0" w:color="auto"/>
            </w:tcBorders>
            <w:shd w:val="clear" w:color="auto" w:fill="auto"/>
            <w:vAlign w:val="center"/>
          </w:tcPr>
          <w:p w14:paraId="6E9D62F6"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623</w:t>
            </w:r>
          </w:p>
        </w:tc>
        <w:tc>
          <w:tcPr>
            <w:tcW w:w="654" w:type="pct"/>
            <w:tcBorders>
              <w:bottom w:val="single" w:sz="4" w:space="0" w:color="auto"/>
            </w:tcBorders>
            <w:shd w:val="clear" w:color="auto" w:fill="auto"/>
            <w:vAlign w:val="center"/>
          </w:tcPr>
          <w:p w14:paraId="26EA5C5F" w14:textId="11DD8F8A"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366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747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289</w:t>
            </w:r>
          </w:p>
        </w:tc>
        <w:tc>
          <w:tcPr>
            <w:tcW w:w="591" w:type="pct"/>
            <w:tcBorders>
              <w:bottom w:val="single" w:sz="4" w:space="0" w:color="auto"/>
            </w:tcBorders>
            <w:shd w:val="clear" w:color="auto" w:fill="auto"/>
            <w:vAlign w:val="center"/>
          </w:tcPr>
          <w:p w14:paraId="07E67CA9" w14:textId="65797608"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02</w:t>
            </w:r>
          </w:p>
        </w:tc>
        <w:tc>
          <w:tcPr>
            <w:tcW w:w="491" w:type="pct"/>
            <w:tcBorders>
              <w:bottom w:val="single" w:sz="4" w:space="0" w:color="auto"/>
            </w:tcBorders>
            <w:vAlign w:val="center"/>
          </w:tcPr>
          <w:p w14:paraId="30491232"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175</w:t>
            </w:r>
          </w:p>
        </w:tc>
        <w:tc>
          <w:tcPr>
            <w:tcW w:w="655" w:type="pct"/>
            <w:tcBorders>
              <w:bottom w:val="single" w:sz="4" w:space="0" w:color="auto"/>
            </w:tcBorders>
            <w:vAlign w:val="center"/>
          </w:tcPr>
          <w:p w14:paraId="7E4BE7D8" w14:textId="1992DD24"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351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973</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498</w:t>
            </w:r>
          </w:p>
        </w:tc>
        <w:tc>
          <w:tcPr>
            <w:tcW w:w="529" w:type="pct"/>
            <w:tcBorders>
              <w:bottom w:val="single" w:sz="4" w:space="0" w:color="auto"/>
            </w:tcBorders>
            <w:vAlign w:val="center"/>
          </w:tcPr>
          <w:p w14:paraId="410A47F3" w14:textId="425DC184"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001</w:t>
            </w:r>
          </w:p>
        </w:tc>
      </w:tr>
      <w:tr w:rsidR="00320910" w:rsidRPr="00E84F7D" w14:paraId="0DD35EEF" w14:textId="77777777" w:rsidTr="008E6149">
        <w:trPr>
          <w:trHeight w:val="242"/>
        </w:trPr>
        <w:tc>
          <w:tcPr>
            <w:tcW w:w="1588" w:type="pct"/>
            <w:shd w:val="clear" w:color="auto" w:fill="auto"/>
            <w:noWrap/>
            <w:vAlign w:val="center"/>
          </w:tcPr>
          <w:p w14:paraId="6A4CDD6F" w14:textId="77777777" w:rsidR="00320910" w:rsidRPr="00E84F7D" w:rsidRDefault="00320910" w:rsidP="008E6149">
            <w:pPr>
              <w:spacing w:after="0" w:line="240" w:lineRule="auto"/>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Classe di età (anni)</w:t>
            </w:r>
          </w:p>
        </w:tc>
        <w:tc>
          <w:tcPr>
            <w:tcW w:w="491" w:type="pct"/>
            <w:shd w:val="clear" w:color="auto" w:fill="auto"/>
            <w:vAlign w:val="center"/>
          </w:tcPr>
          <w:p w14:paraId="21D7D74C"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b/>
                <w:bCs/>
                <w:color w:val="000000"/>
                <w:sz w:val="18"/>
                <w:szCs w:val="18"/>
                <w:lang w:val="it-IT"/>
              </w:rPr>
              <w:t> </w:t>
            </w:r>
          </w:p>
        </w:tc>
        <w:tc>
          <w:tcPr>
            <w:tcW w:w="654" w:type="pct"/>
            <w:shd w:val="clear" w:color="auto" w:fill="auto"/>
            <w:vAlign w:val="center"/>
          </w:tcPr>
          <w:p w14:paraId="706B4EA1"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b/>
                <w:bCs/>
                <w:color w:val="000000"/>
                <w:sz w:val="18"/>
                <w:szCs w:val="18"/>
                <w:lang w:val="it-IT"/>
              </w:rPr>
              <w:t> </w:t>
            </w:r>
          </w:p>
        </w:tc>
        <w:tc>
          <w:tcPr>
            <w:tcW w:w="591" w:type="pct"/>
            <w:shd w:val="clear" w:color="auto" w:fill="auto"/>
            <w:vAlign w:val="center"/>
          </w:tcPr>
          <w:p w14:paraId="5FB47664" w14:textId="77777777" w:rsidR="00320910" w:rsidRPr="00E84F7D" w:rsidRDefault="00320910" w:rsidP="008E6149">
            <w:pPr>
              <w:spacing w:after="0" w:line="240" w:lineRule="auto"/>
              <w:ind w:right="637"/>
              <w:jc w:val="center"/>
              <w:rPr>
                <w:rFonts w:eastAsia="Times New Roman" w:cstheme="minorHAnsi"/>
                <w:b/>
                <w:bCs/>
                <w:color w:val="000000" w:themeColor="text1"/>
                <w:sz w:val="18"/>
                <w:szCs w:val="18"/>
                <w:lang w:val="it-IT" w:eastAsia="it-IT"/>
              </w:rPr>
            </w:pPr>
            <w:r w:rsidRPr="00E84F7D">
              <w:rPr>
                <w:rFonts w:ascii="Calibri" w:hAnsi="Calibri" w:cs="Calibri"/>
                <w:b/>
                <w:bCs/>
                <w:color w:val="000000"/>
                <w:sz w:val="18"/>
                <w:szCs w:val="18"/>
                <w:lang w:val="it-IT"/>
              </w:rPr>
              <w:t> </w:t>
            </w:r>
          </w:p>
        </w:tc>
        <w:tc>
          <w:tcPr>
            <w:tcW w:w="491" w:type="pct"/>
            <w:vAlign w:val="center"/>
          </w:tcPr>
          <w:p w14:paraId="292EB691" w14:textId="77777777" w:rsidR="00320910" w:rsidRPr="00E84F7D" w:rsidRDefault="00320910" w:rsidP="008E6149">
            <w:pPr>
              <w:spacing w:after="0" w:line="240" w:lineRule="auto"/>
              <w:ind w:right="606"/>
              <w:jc w:val="center"/>
              <w:rPr>
                <w:rFonts w:eastAsia="Times New Roman" w:cstheme="minorHAnsi"/>
                <w:b/>
                <w:bCs/>
                <w:color w:val="000000" w:themeColor="text1"/>
                <w:sz w:val="18"/>
                <w:szCs w:val="18"/>
                <w:lang w:val="it-IT" w:eastAsia="it-IT"/>
              </w:rPr>
            </w:pPr>
            <w:r w:rsidRPr="00E84F7D">
              <w:rPr>
                <w:rFonts w:ascii="Calibri" w:hAnsi="Calibri" w:cs="Calibri"/>
                <w:b/>
                <w:bCs/>
                <w:color w:val="000000"/>
                <w:sz w:val="18"/>
                <w:szCs w:val="18"/>
                <w:lang w:val="it-IT"/>
              </w:rPr>
              <w:t> </w:t>
            </w:r>
          </w:p>
        </w:tc>
        <w:tc>
          <w:tcPr>
            <w:tcW w:w="655" w:type="pct"/>
            <w:vAlign w:val="center"/>
          </w:tcPr>
          <w:p w14:paraId="001EA329" w14:textId="77777777" w:rsidR="00320910" w:rsidRPr="00E84F7D" w:rsidRDefault="00320910" w:rsidP="008E6149">
            <w:pPr>
              <w:spacing w:after="0" w:line="240" w:lineRule="auto"/>
              <w:ind w:right="606"/>
              <w:jc w:val="center"/>
              <w:rPr>
                <w:rFonts w:eastAsia="Times New Roman" w:cstheme="minorHAnsi"/>
                <w:b/>
                <w:bCs/>
                <w:color w:val="000000" w:themeColor="text1"/>
                <w:sz w:val="18"/>
                <w:szCs w:val="18"/>
                <w:lang w:val="it-IT" w:eastAsia="it-IT"/>
              </w:rPr>
            </w:pPr>
            <w:r w:rsidRPr="00E84F7D">
              <w:rPr>
                <w:rFonts w:ascii="Calibri" w:hAnsi="Calibri" w:cs="Calibri"/>
                <w:b/>
                <w:bCs/>
                <w:color w:val="000000"/>
                <w:sz w:val="18"/>
                <w:szCs w:val="18"/>
                <w:lang w:val="it-IT"/>
              </w:rPr>
              <w:t> </w:t>
            </w:r>
          </w:p>
        </w:tc>
        <w:tc>
          <w:tcPr>
            <w:tcW w:w="529" w:type="pct"/>
            <w:vAlign w:val="center"/>
          </w:tcPr>
          <w:p w14:paraId="3265FE23" w14:textId="77777777" w:rsidR="00320910" w:rsidRPr="00E84F7D" w:rsidRDefault="00320910" w:rsidP="008E6149">
            <w:pPr>
              <w:spacing w:after="0" w:line="240" w:lineRule="auto"/>
              <w:ind w:right="606"/>
              <w:jc w:val="center"/>
              <w:rPr>
                <w:rFonts w:eastAsia="Times New Roman" w:cstheme="minorHAnsi"/>
                <w:b/>
                <w:bCs/>
                <w:color w:val="000000" w:themeColor="text1"/>
                <w:sz w:val="18"/>
                <w:szCs w:val="18"/>
                <w:lang w:val="it-IT" w:eastAsia="it-IT"/>
              </w:rPr>
            </w:pPr>
            <w:r w:rsidRPr="00E84F7D">
              <w:rPr>
                <w:rFonts w:ascii="Calibri" w:hAnsi="Calibri" w:cs="Calibri"/>
                <w:color w:val="000000"/>
                <w:sz w:val="18"/>
                <w:szCs w:val="18"/>
                <w:lang w:val="it-IT"/>
              </w:rPr>
              <w:t> </w:t>
            </w:r>
          </w:p>
        </w:tc>
      </w:tr>
      <w:tr w:rsidR="00320910" w:rsidRPr="00E84F7D" w14:paraId="44D1F169" w14:textId="77777777" w:rsidTr="008E6149">
        <w:trPr>
          <w:trHeight w:val="242"/>
        </w:trPr>
        <w:tc>
          <w:tcPr>
            <w:tcW w:w="1588" w:type="pct"/>
            <w:shd w:val="clear" w:color="auto" w:fill="auto"/>
            <w:noWrap/>
            <w:vAlign w:val="center"/>
          </w:tcPr>
          <w:p w14:paraId="00EDAD00" w14:textId="77777777" w:rsidR="00320910" w:rsidRPr="00E84F7D" w:rsidRDefault="00320910" w:rsidP="008E6149">
            <w:pPr>
              <w:spacing w:after="0" w:line="240" w:lineRule="auto"/>
              <w:ind w:left="209"/>
              <w:rPr>
                <w:rFonts w:eastAsia="Times New Roman" w:cstheme="minorHAnsi"/>
                <w:b/>
                <w:bCs/>
                <w:color w:val="000000" w:themeColor="text1"/>
                <w:sz w:val="18"/>
                <w:szCs w:val="18"/>
                <w:lang w:val="it-IT" w:eastAsia="it-IT"/>
              </w:rPr>
            </w:pPr>
            <w:r w:rsidRPr="00E84F7D">
              <w:rPr>
                <w:rFonts w:eastAsia="Times New Roman" w:cstheme="minorHAnsi"/>
                <w:color w:val="000000" w:themeColor="text1"/>
                <w:sz w:val="18"/>
                <w:szCs w:val="18"/>
                <w:lang w:val="it-IT" w:eastAsia="it-IT"/>
              </w:rPr>
              <w:t xml:space="preserve">&lt;40 </w:t>
            </w:r>
          </w:p>
        </w:tc>
        <w:tc>
          <w:tcPr>
            <w:tcW w:w="491" w:type="pct"/>
            <w:shd w:val="clear" w:color="auto" w:fill="auto"/>
            <w:vAlign w:val="center"/>
          </w:tcPr>
          <w:p w14:paraId="391298FD"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w:t>
            </w:r>
          </w:p>
        </w:tc>
        <w:tc>
          <w:tcPr>
            <w:tcW w:w="654" w:type="pct"/>
            <w:shd w:val="clear" w:color="auto" w:fill="auto"/>
            <w:vAlign w:val="center"/>
          </w:tcPr>
          <w:p w14:paraId="19840066" w14:textId="1FB426A2"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87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579</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819</w:t>
            </w:r>
          </w:p>
        </w:tc>
        <w:tc>
          <w:tcPr>
            <w:tcW w:w="591" w:type="pct"/>
            <w:shd w:val="clear" w:color="auto" w:fill="auto"/>
            <w:vAlign w:val="center"/>
          </w:tcPr>
          <w:p w14:paraId="781009DD" w14:textId="6CB1B791"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0002</w:t>
            </w:r>
          </w:p>
        </w:tc>
        <w:tc>
          <w:tcPr>
            <w:tcW w:w="491" w:type="pct"/>
            <w:vAlign w:val="center"/>
          </w:tcPr>
          <w:p w14:paraId="1A576810"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w:t>
            </w:r>
          </w:p>
        </w:tc>
        <w:tc>
          <w:tcPr>
            <w:tcW w:w="655" w:type="pct"/>
            <w:vAlign w:val="center"/>
          </w:tcPr>
          <w:p w14:paraId="263FDC32" w14:textId="1DBE2644"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164</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512</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648</w:t>
            </w:r>
          </w:p>
        </w:tc>
        <w:tc>
          <w:tcPr>
            <w:tcW w:w="529" w:type="pct"/>
            <w:vAlign w:val="center"/>
          </w:tcPr>
          <w:p w14:paraId="7AEF2E58" w14:textId="220AAC24"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0001</w:t>
            </w:r>
          </w:p>
        </w:tc>
      </w:tr>
      <w:tr w:rsidR="00320910" w:rsidRPr="00E84F7D" w14:paraId="3B0BF8C5" w14:textId="77777777" w:rsidTr="008E6149">
        <w:trPr>
          <w:trHeight w:val="242"/>
        </w:trPr>
        <w:tc>
          <w:tcPr>
            <w:tcW w:w="1588" w:type="pct"/>
            <w:shd w:val="clear" w:color="auto" w:fill="auto"/>
            <w:noWrap/>
            <w:vAlign w:val="center"/>
          </w:tcPr>
          <w:p w14:paraId="45272455" w14:textId="77777777" w:rsidR="00320910" w:rsidRPr="00E84F7D" w:rsidRDefault="00320910" w:rsidP="008E6149">
            <w:pPr>
              <w:spacing w:after="0" w:line="240" w:lineRule="auto"/>
              <w:ind w:left="209"/>
              <w:rPr>
                <w:rFonts w:eastAsia="Times New Roman" w:cstheme="minorHAnsi"/>
                <w:b/>
                <w:bCs/>
                <w:color w:val="000000" w:themeColor="text1"/>
                <w:sz w:val="18"/>
                <w:szCs w:val="18"/>
                <w:lang w:val="it-IT" w:eastAsia="it-IT"/>
              </w:rPr>
            </w:pPr>
            <w:r w:rsidRPr="00E84F7D">
              <w:rPr>
                <w:rFonts w:eastAsia="Times New Roman" w:cstheme="minorHAnsi"/>
                <w:color w:val="000000" w:themeColor="text1"/>
                <w:sz w:val="18"/>
                <w:szCs w:val="18"/>
                <w:lang w:val="it-IT" w:eastAsia="it-IT"/>
              </w:rPr>
              <w:t>40-59</w:t>
            </w:r>
          </w:p>
        </w:tc>
        <w:tc>
          <w:tcPr>
            <w:tcW w:w="491" w:type="pct"/>
            <w:shd w:val="clear" w:color="auto" w:fill="auto"/>
            <w:vAlign w:val="center"/>
          </w:tcPr>
          <w:p w14:paraId="09A9ACE5"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57</w:t>
            </w:r>
          </w:p>
        </w:tc>
        <w:tc>
          <w:tcPr>
            <w:tcW w:w="654" w:type="pct"/>
            <w:shd w:val="clear" w:color="auto" w:fill="auto"/>
            <w:vAlign w:val="center"/>
          </w:tcPr>
          <w:p w14:paraId="4D5A82C4" w14:textId="376837F4"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136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908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864</w:t>
            </w:r>
          </w:p>
        </w:tc>
        <w:tc>
          <w:tcPr>
            <w:tcW w:w="591" w:type="pct"/>
            <w:shd w:val="clear" w:color="auto" w:fill="auto"/>
            <w:vAlign w:val="center"/>
          </w:tcPr>
          <w:p w14:paraId="24576E2C" w14:textId="309EE66C"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004</w:t>
            </w:r>
          </w:p>
        </w:tc>
        <w:tc>
          <w:tcPr>
            <w:tcW w:w="491" w:type="pct"/>
            <w:vAlign w:val="center"/>
          </w:tcPr>
          <w:p w14:paraId="492A6713"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17</w:t>
            </w:r>
          </w:p>
        </w:tc>
        <w:tc>
          <w:tcPr>
            <w:tcW w:w="655" w:type="pct"/>
            <w:vAlign w:val="center"/>
          </w:tcPr>
          <w:p w14:paraId="7AC11C9D" w14:textId="3253197A"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376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776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835</w:t>
            </w:r>
          </w:p>
        </w:tc>
        <w:tc>
          <w:tcPr>
            <w:tcW w:w="529" w:type="pct"/>
            <w:vAlign w:val="center"/>
          </w:tcPr>
          <w:p w14:paraId="5D73B5A2" w14:textId="1361F211"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0005</w:t>
            </w:r>
          </w:p>
        </w:tc>
      </w:tr>
      <w:tr w:rsidR="00320910" w:rsidRPr="00E84F7D" w14:paraId="4C3E8679" w14:textId="77777777" w:rsidTr="008E6149">
        <w:trPr>
          <w:trHeight w:val="242"/>
        </w:trPr>
        <w:tc>
          <w:tcPr>
            <w:tcW w:w="1588" w:type="pct"/>
            <w:shd w:val="clear" w:color="auto" w:fill="auto"/>
            <w:noWrap/>
            <w:vAlign w:val="center"/>
          </w:tcPr>
          <w:p w14:paraId="55536D24" w14:textId="77777777" w:rsidR="00320910" w:rsidRPr="00E84F7D" w:rsidRDefault="00320910" w:rsidP="008E6149">
            <w:pPr>
              <w:spacing w:after="0" w:line="240" w:lineRule="auto"/>
              <w:ind w:left="209"/>
              <w:rPr>
                <w:rFonts w:eastAsia="Times New Roman" w:cstheme="minorHAnsi"/>
                <w:b/>
                <w:bCs/>
                <w:color w:val="000000" w:themeColor="text1"/>
                <w:sz w:val="18"/>
                <w:szCs w:val="18"/>
                <w:lang w:val="it-IT" w:eastAsia="it-IT"/>
              </w:rPr>
            </w:pPr>
            <w:r w:rsidRPr="00E84F7D">
              <w:rPr>
                <w:rFonts w:eastAsia="Times New Roman" w:cstheme="minorHAnsi"/>
                <w:color w:val="000000" w:themeColor="text1"/>
                <w:sz w:val="18"/>
                <w:szCs w:val="18"/>
                <w:lang w:val="it-IT" w:eastAsia="it-IT"/>
              </w:rPr>
              <w:t>60-79</w:t>
            </w:r>
          </w:p>
        </w:tc>
        <w:tc>
          <w:tcPr>
            <w:tcW w:w="491" w:type="pct"/>
            <w:shd w:val="clear" w:color="auto" w:fill="auto"/>
            <w:vAlign w:val="center"/>
          </w:tcPr>
          <w:p w14:paraId="7C8ED42B"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260</w:t>
            </w:r>
          </w:p>
        </w:tc>
        <w:tc>
          <w:tcPr>
            <w:tcW w:w="654" w:type="pct"/>
            <w:shd w:val="clear" w:color="auto" w:fill="auto"/>
            <w:vAlign w:val="center"/>
          </w:tcPr>
          <w:p w14:paraId="0E6E6A83" w14:textId="164D76B5"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87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415</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706</w:t>
            </w:r>
          </w:p>
        </w:tc>
        <w:tc>
          <w:tcPr>
            <w:tcW w:w="591" w:type="pct"/>
            <w:shd w:val="clear" w:color="auto" w:fill="auto"/>
            <w:vAlign w:val="center"/>
          </w:tcPr>
          <w:p w14:paraId="3CF8E4DA" w14:textId="56EAAEF5"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03</w:t>
            </w:r>
          </w:p>
        </w:tc>
        <w:tc>
          <w:tcPr>
            <w:tcW w:w="491" w:type="pct"/>
            <w:vAlign w:val="center"/>
          </w:tcPr>
          <w:p w14:paraId="3370610E"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53</w:t>
            </w:r>
          </w:p>
        </w:tc>
        <w:tc>
          <w:tcPr>
            <w:tcW w:w="655" w:type="pct"/>
            <w:vAlign w:val="center"/>
          </w:tcPr>
          <w:p w14:paraId="7948121A" w14:textId="3F7FB712"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405</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130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670</w:t>
            </w:r>
          </w:p>
        </w:tc>
        <w:tc>
          <w:tcPr>
            <w:tcW w:w="529" w:type="pct"/>
            <w:vAlign w:val="center"/>
          </w:tcPr>
          <w:p w14:paraId="5CEB5C3D" w14:textId="493BB619"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001</w:t>
            </w:r>
          </w:p>
        </w:tc>
      </w:tr>
      <w:tr w:rsidR="00320910" w:rsidRPr="00E84F7D" w14:paraId="0EA0899A" w14:textId="77777777" w:rsidTr="008E6149">
        <w:trPr>
          <w:trHeight w:val="242"/>
        </w:trPr>
        <w:tc>
          <w:tcPr>
            <w:tcW w:w="1588" w:type="pct"/>
            <w:shd w:val="clear" w:color="auto" w:fill="auto"/>
            <w:noWrap/>
            <w:vAlign w:val="center"/>
          </w:tcPr>
          <w:p w14:paraId="15B9A288" w14:textId="77777777" w:rsidR="00320910" w:rsidRPr="00E84F7D" w:rsidRDefault="00320910" w:rsidP="008E6149">
            <w:pPr>
              <w:spacing w:after="0" w:line="240" w:lineRule="auto"/>
              <w:ind w:left="209"/>
              <w:rPr>
                <w:rFonts w:eastAsia="Times New Roman" w:cstheme="minorHAnsi"/>
                <w:b/>
                <w:bCs/>
                <w:color w:val="000000" w:themeColor="text1"/>
                <w:sz w:val="18"/>
                <w:szCs w:val="18"/>
                <w:lang w:val="it-IT" w:eastAsia="it-IT"/>
              </w:rPr>
            </w:pPr>
            <w:r w:rsidRPr="00E84F7D">
              <w:rPr>
                <w:rFonts w:eastAsia="Times New Roman" w:cstheme="minorHAnsi"/>
                <w:color w:val="000000" w:themeColor="text1"/>
                <w:sz w:val="18"/>
                <w:szCs w:val="18"/>
                <w:lang w:val="it-IT" w:eastAsia="it-IT"/>
              </w:rPr>
              <w:t>≥80</w:t>
            </w:r>
          </w:p>
        </w:tc>
        <w:tc>
          <w:tcPr>
            <w:tcW w:w="491" w:type="pct"/>
            <w:shd w:val="clear" w:color="auto" w:fill="auto"/>
            <w:vAlign w:val="center"/>
          </w:tcPr>
          <w:p w14:paraId="0D9CF554"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304</w:t>
            </w:r>
          </w:p>
        </w:tc>
        <w:tc>
          <w:tcPr>
            <w:tcW w:w="654" w:type="pct"/>
            <w:shd w:val="clear" w:color="auto" w:fill="auto"/>
            <w:vAlign w:val="center"/>
          </w:tcPr>
          <w:p w14:paraId="597C5AA6" w14:textId="400A2D75"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54</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842</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900</w:t>
            </w:r>
          </w:p>
        </w:tc>
        <w:tc>
          <w:tcPr>
            <w:tcW w:w="591" w:type="pct"/>
            <w:shd w:val="clear" w:color="auto" w:fill="auto"/>
            <w:vAlign w:val="center"/>
          </w:tcPr>
          <w:p w14:paraId="12AE88EB" w14:textId="2C5DC616"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06</w:t>
            </w:r>
          </w:p>
        </w:tc>
        <w:tc>
          <w:tcPr>
            <w:tcW w:w="491" w:type="pct"/>
            <w:vAlign w:val="center"/>
          </w:tcPr>
          <w:p w14:paraId="4CC76774"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104</w:t>
            </w:r>
          </w:p>
        </w:tc>
        <w:tc>
          <w:tcPr>
            <w:tcW w:w="655" w:type="pct"/>
            <w:vAlign w:val="center"/>
          </w:tcPr>
          <w:p w14:paraId="18D89CF1" w14:textId="5600B4E4"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405</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553</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345</w:t>
            </w:r>
          </w:p>
        </w:tc>
        <w:tc>
          <w:tcPr>
            <w:tcW w:w="529" w:type="pct"/>
            <w:vAlign w:val="center"/>
          </w:tcPr>
          <w:p w14:paraId="49098E2F" w14:textId="45DF0F3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003</w:t>
            </w:r>
          </w:p>
        </w:tc>
      </w:tr>
      <w:tr w:rsidR="00320910" w:rsidRPr="00E84F7D" w14:paraId="2809CAE1" w14:textId="77777777" w:rsidTr="008E6149">
        <w:trPr>
          <w:trHeight w:val="242"/>
        </w:trPr>
        <w:tc>
          <w:tcPr>
            <w:tcW w:w="1588" w:type="pct"/>
            <w:shd w:val="clear" w:color="auto" w:fill="auto"/>
            <w:noWrap/>
            <w:vAlign w:val="center"/>
          </w:tcPr>
          <w:p w14:paraId="3FCB9B55" w14:textId="77777777" w:rsidR="00320910" w:rsidRPr="00E84F7D" w:rsidRDefault="00320910" w:rsidP="008E6149">
            <w:pPr>
              <w:spacing w:after="0" w:line="240" w:lineRule="auto"/>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Genere</w:t>
            </w:r>
          </w:p>
        </w:tc>
        <w:tc>
          <w:tcPr>
            <w:tcW w:w="491" w:type="pct"/>
            <w:shd w:val="clear" w:color="auto" w:fill="auto"/>
            <w:vAlign w:val="center"/>
          </w:tcPr>
          <w:p w14:paraId="0112E32D"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 </w:t>
            </w:r>
          </w:p>
        </w:tc>
        <w:tc>
          <w:tcPr>
            <w:tcW w:w="654" w:type="pct"/>
            <w:shd w:val="clear" w:color="auto" w:fill="auto"/>
            <w:vAlign w:val="center"/>
          </w:tcPr>
          <w:p w14:paraId="4CA1D9EA"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 </w:t>
            </w:r>
          </w:p>
        </w:tc>
        <w:tc>
          <w:tcPr>
            <w:tcW w:w="591" w:type="pct"/>
            <w:shd w:val="clear" w:color="auto" w:fill="auto"/>
            <w:vAlign w:val="center"/>
          </w:tcPr>
          <w:p w14:paraId="7831B20F"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 </w:t>
            </w:r>
          </w:p>
        </w:tc>
        <w:tc>
          <w:tcPr>
            <w:tcW w:w="491" w:type="pct"/>
            <w:vAlign w:val="center"/>
          </w:tcPr>
          <w:p w14:paraId="2588DCC4"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 </w:t>
            </w:r>
          </w:p>
        </w:tc>
        <w:tc>
          <w:tcPr>
            <w:tcW w:w="655" w:type="pct"/>
            <w:vAlign w:val="center"/>
          </w:tcPr>
          <w:p w14:paraId="0E8A13AA"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 </w:t>
            </w:r>
          </w:p>
        </w:tc>
        <w:tc>
          <w:tcPr>
            <w:tcW w:w="529" w:type="pct"/>
            <w:vAlign w:val="center"/>
          </w:tcPr>
          <w:p w14:paraId="622106AB"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 </w:t>
            </w:r>
          </w:p>
        </w:tc>
      </w:tr>
      <w:tr w:rsidR="00320910" w:rsidRPr="00E84F7D" w14:paraId="497823CB" w14:textId="77777777" w:rsidTr="008E6149">
        <w:trPr>
          <w:trHeight w:val="242"/>
        </w:trPr>
        <w:tc>
          <w:tcPr>
            <w:tcW w:w="1588" w:type="pct"/>
            <w:shd w:val="clear" w:color="auto" w:fill="auto"/>
            <w:noWrap/>
            <w:vAlign w:val="center"/>
          </w:tcPr>
          <w:p w14:paraId="1AB8DDC7"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Donne</w:t>
            </w:r>
          </w:p>
        </w:tc>
        <w:tc>
          <w:tcPr>
            <w:tcW w:w="491" w:type="pct"/>
            <w:shd w:val="clear" w:color="auto" w:fill="auto"/>
            <w:vAlign w:val="center"/>
          </w:tcPr>
          <w:p w14:paraId="4120CC12"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208</w:t>
            </w:r>
          </w:p>
        </w:tc>
        <w:tc>
          <w:tcPr>
            <w:tcW w:w="654" w:type="pct"/>
            <w:shd w:val="clear" w:color="auto" w:fill="auto"/>
            <w:vAlign w:val="center"/>
          </w:tcPr>
          <w:p w14:paraId="2241B1E5" w14:textId="7328D181"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193</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559</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149</w:t>
            </w:r>
          </w:p>
        </w:tc>
        <w:tc>
          <w:tcPr>
            <w:tcW w:w="591" w:type="pct"/>
            <w:shd w:val="clear" w:color="auto" w:fill="auto"/>
            <w:vAlign w:val="center"/>
          </w:tcPr>
          <w:p w14:paraId="4D52727C" w14:textId="20622389"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01</w:t>
            </w:r>
          </w:p>
        </w:tc>
        <w:tc>
          <w:tcPr>
            <w:tcW w:w="491" w:type="pct"/>
            <w:vAlign w:val="center"/>
          </w:tcPr>
          <w:p w14:paraId="6EFEE625"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67</w:t>
            </w:r>
          </w:p>
        </w:tc>
        <w:tc>
          <w:tcPr>
            <w:tcW w:w="655" w:type="pct"/>
            <w:vAlign w:val="center"/>
          </w:tcPr>
          <w:p w14:paraId="43D0173F" w14:textId="7F8E0D2F"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759</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985</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545</w:t>
            </w:r>
          </w:p>
        </w:tc>
        <w:tc>
          <w:tcPr>
            <w:tcW w:w="529" w:type="pct"/>
            <w:vAlign w:val="center"/>
          </w:tcPr>
          <w:p w14:paraId="2118A4D4" w14:textId="5149CB5F"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001</w:t>
            </w:r>
          </w:p>
        </w:tc>
      </w:tr>
      <w:tr w:rsidR="00320910" w:rsidRPr="00E84F7D" w14:paraId="1FBE1ACB" w14:textId="77777777" w:rsidTr="008E6149">
        <w:trPr>
          <w:trHeight w:val="242"/>
        </w:trPr>
        <w:tc>
          <w:tcPr>
            <w:tcW w:w="1588" w:type="pct"/>
            <w:tcBorders>
              <w:bottom w:val="single" w:sz="4" w:space="0" w:color="auto"/>
            </w:tcBorders>
            <w:shd w:val="clear" w:color="auto" w:fill="auto"/>
            <w:noWrap/>
            <w:vAlign w:val="center"/>
          </w:tcPr>
          <w:p w14:paraId="2102073A"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Uomini</w:t>
            </w:r>
          </w:p>
        </w:tc>
        <w:tc>
          <w:tcPr>
            <w:tcW w:w="491" w:type="pct"/>
            <w:tcBorders>
              <w:bottom w:val="single" w:sz="4" w:space="0" w:color="auto"/>
            </w:tcBorders>
            <w:shd w:val="clear" w:color="auto" w:fill="auto"/>
            <w:vAlign w:val="center"/>
          </w:tcPr>
          <w:p w14:paraId="65DC05CC"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415</w:t>
            </w:r>
          </w:p>
        </w:tc>
        <w:tc>
          <w:tcPr>
            <w:tcW w:w="654" w:type="pct"/>
            <w:tcBorders>
              <w:bottom w:val="single" w:sz="4" w:space="0" w:color="auto"/>
            </w:tcBorders>
            <w:shd w:val="clear" w:color="auto" w:fill="auto"/>
            <w:vAlign w:val="center"/>
          </w:tcPr>
          <w:p w14:paraId="44D7591F" w14:textId="0647F10E"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173</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188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140</w:t>
            </w:r>
          </w:p>
        </w:tc>
        <w:tc>
          <w:tcPr>
            <w:tcW w:w="591" w:type="pct"/>
            <w:tcBorders>
              <w:bottom w:val="single" w:sz="4" w:space="0" w:color="auto"/>
            </w:tcBorders>
            <w:shd w:val="clear" w:color="auto" w:fill="auto"/>
            <w:vAlign w:val="center"/>
          </w:tcPr>
          <w:p w14:paraId="1482D753" w14:textId="66054792"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02</w:t>
            </w:r>
          </w:p>
        </w:tc>
        <w:tc>
          <w:tcPr>
            <w:tcW w:w="491" w:type="pct"/>
            <w:tcBorders>
              <w:bottom w:val="single" w:sz="4" w:space="0" w:color="auto"/>
            </w:tcBorders>
            <w:vAlign w:val="center"/>
          </w:tcPr>
          <w:p w14:paraId="7A8B558E"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108</w:t>
            </w:r>
          </w:p>
        </w:tc>
        <w:tc>
          <w:tcPr>
            <w:tcW w:w="655" w:type="pct"/>
            <w:tcBorders>
              <w:bottom w:val="single" w:sz="4" w:space="0" w:color="auto"/>
            </w:tcBorders>
            <w:vAlign w:val="center"/>
          </w:tcPr>
          <w:p w14:paraId="4E5E1096" w14:textId="0431A415"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591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987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952</w:t>
            </w:r>
          </w:p>
        </w:tc>
        <w:tc>
          <w:tcPr>
            <w:tcW w:w="529" w:type="pct"/>
            <w:tcBorders>
              <w:bottom w:val="single" w:sz="4" w:space="0" w:color="auto"/>
            </w:tcBorders>
            <w:vAlign w:val="center"/>
          </w:tcPr>
          <w:p w14:paraId="09AF28D5" w14:textId="3B8BF4CD"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002</w:t>
            </w:r>
          </w:p>
        </w:tc>
      </w:tr>
      <w:tr w:rsidR="00320910" w:rsidRPr="00E84F7D" w14:paraId="0A2076B5" w14:textId="77777777" w:rsidTr="008E6149">
        <w:trPr>
          <w:trHeight w:val="242"/>
        </w:trPr>
        <w:tc>
          <w:tcPr>
            <w:tcW w:w="1588" w:type="pct"/>
            <w:tcBorders>
              <w:bottom w:val="single" w:sz="4" w:space="0" w:color="auto"/>
            </w:tcBorders>
            <w:shd w:val="clear" w:color="auto" w:fill="auto"/>
            <w:noWrap/>
            <w:vAlign w:val="center"/>
          </w:tcPr>
          <w:p w14:paraId="5B16A60D" w14:textId="77777777" w:rsidR="00320910" w:rsidRPr="00E84F7D" w:rsidRDefault="00320910" w:rsidP="008E6149">
            <w:pPr>
              <w:spacing w:after="0" w:line="240" w:lineRule="auto"/>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Area geografica</w:t>
            </w:r>
          </w:p>
        </w:tc>
        <w:tc>
          <w:tcPr>
            <w:tcW w:w="491" w:type="pct"/>
            <w:tcBorders>
              <w:bottom w:val="single" w:sz="4" w:space="0" w:color="auto"/>
            </w:tcBorders>
            <w:shd w:val="clear" w:color="auto" w:fill="auto"/>
            <w:vAlign w:val="center"/>
          </w:tcPr>
          <w:p w14:paraId="0EED256E"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 </w:t>
            </w:r>
          </w:p>
        </w:tc>
        <w:tc>
          <w:tcPr>
            <w:tcW w:w="654" w:type="pct"/>
            <w:tcBorders>
              <w:bottom w:val="single" w:sz="4" w:space="0" w:color="auto"/>
            </w:tcBorders>
            <w:shd w:val="clear" w:color="auto" w:fill="auto"/>
            <w:vAlign w:val="center"/>
          </w:tcPr>
          <w:p w14:paraId="3AC1A53C"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 </w:t>
            </w:r>
          </w:p>
        </w:tc>
        <w:tc>
          <w:tcPr>
            <w:tcW w:w="591" w:type="pct"/>
            <w:tcBorders>
              <w:bottom w:val="single" w:sz="4" w:space="0" w:color="auto"/>
            </w:tcBorders>
            <w:shd w:val="clear" w:color="auto" w:fill="auto"/>
            <w:vAlign w:val="center"/>
          </w:tcPr>
          <w:p w14:paraId="31ECB215"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 </w:t>
            </w:r>
          </w:p>
        </w:tc>
        <w:tc>
          <w:tcPr>
            <w:tcW w:w="491" w:type="pct"/>
            <w:tcBorders>
              <w:bottom w:val="single" w:sz="4" w:space="0" w:color="auto"/>
            </w:tcBorders>
            <w:vAlign w:val="center"/>
          </w:tcPr>
          <w:p w14:paraId="6078ADD0"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 </w:t>
            </w:r>
          </w:p>
        </w:tc>
        <w:tc>
          <w:tcPr>
            <w:tcW w:w="655" w:type="pct"/>
            <w:tcBorders>
              <w:bottom w:val="single" w:sz="4" w:space="0" w:color="auto"/>
            </w:tcBorders>
            <w:vAlign w:val="center"/>
          </w:tcPr>
          <w:p w14:paraId="10B0EAC5"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 </w:t>
            </w:r>
          </w:p>
        </w:tc>
        <w:tc>
          <w:tcPr>
            <w:tcW w:w="529" w:type="pct"/>
            <w:tcBorders>
              <w:bottom w:val="single" w:sz="4" w:space="0" w:color="auto"/>
            </w:tcBorders>
            <w:vAlign w:val="center"/>
          </w:tcPr>
          <w:p w14:paraId="6E2B31C0"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 </w:t>
            </w:r>
          </w:p>
        </w:tc>
      </w:tr>
      <w:tr w:rsidR="00320910" w:rsidRPr="00E84F7D" w14:paraId="0EF349B5" w14:textId="77777777" w:rsidTr="008E6149">
        <w:trPr>
          <w:trHeight w:val="242"/>
        </w:trPr>
        <w:tc>
          <w:tcPr>
            <w:tcW w:w="1588" w:type="pct"/>
            <w:tcBorders>
              <w:bottom w:val="single" w:sz="4" w:space="0" w:color="auto"/>
            </w:tcBorders>
            <w:shd w:val="clear" w:color="auto" w:fill="auto"/>
            <w:noWrap/>
            <w:vAlign w:val="center"/>
          </w:tcPr>
          <w:p w14:paraId="1A76BD39"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Nord</w:t>
            </w:r>
          </w:p>
        </w:tc>
        <w:tc>
          <w:tcPr>
            <w:tcW w:w="491" w:type="pct"/>
            <w:tcBorders>
              <w:bottom w:val="single" w:sz="4" w:space="0" w:color="auto"/>
            </w:tcBorders>
            <w:shd w:val="clear" w:color="auto" w:fill="auto"/>
            <w:vAlign w:val="center"/>
          </w:tcPr>
          <w:p w14:paraId="5845E16A"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421</w:t>
            </w:r>
          </w:p>
        </w:tc>
        <w:tc>
          <w:tcPr>
            <w:tcW w:w="654" w:type="pct"/>
            <w:tcBorders>
              <w:bottom w:val="single" w:sz="4" w:space="0" w:color="auto"/>
            </w:tcBorders>
            <w:shd w:val="clear" w:color="auto" w:fill="auto"/>
            <w:vAlign w:val="center"/>
          </w:tcPr>
          <w:p w14:paraId="0BE571B5" w14:textId="3E434356"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193</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861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007</w:t>
            </w:r>
          </w:p>
        </w:tc>
        <w:tc>
          <w:tcPr>
            <w:tcW w:w="591" w:type="pct"/>
            <w:tcBorders>
              <w:bottom w:val="single" w:sz="4" w:space="0" w:color="auto"/>
            </w:tcBorders>
            <w:shd w:val="clear" w:color="auto" w:fill="auto"/>
            <w:vAlign w:val="center"/>
          </w:tcPr>
          <w:p w14:paraId="7C47EA31" w14:textId="187EC8D3"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02</w:t>
            </w:r>
          </w:p>
        </w:tc>
        <w:tc>
          <w:tcPr>
            <w:tcW w:w="491" w:type="pct"/>
            <w:tcBorders>
              <w:bottom w:val="single" w:sz="4" w:space="0" w:color="auto"/>
            </w:tcBorders>
            <w:vAlign w:val="center"/>
          </w:tcPr>
          <w:p w14:paraId="6DF057E7"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90</w:t>
            </w:r>
          </w:p>
        </w:tc>
        <w:tc>
          <w:tcPr>
            <w:tcW w:w="655" w:type="pct"/>
            <w:tcBorders>
              <w:bottom w:val="single" w:sz="4" w:space="0" w:color="auto"/>
            </w:tcBorders>
            <w:vAlign w:val="center"/>
          </w:tcPr>
          <w:p w14:paraId="38692DBB" w14:textId="09FE51D5"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722</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861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306</w:t>
            </w:r>
          </w:p>
        </w:tc>
        <w:tc>
          <w:tcPr>
            <w:tcW w:w="529" w:type="pct"/>
            <w:tcBorders>
              <w:bottom w:val="single" w:sz="4" w:space="0" w:color="auto"/>
            </w:tcBorders>
            <w:vAlign w:val="center"/>
          </w:tcPr>
          <w:p w14:paraId="360C3FAB" w14:textId="0EBF8DD8"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001</w:t>
            </w:r>
          </w:p>
        </w:tc>
      </w:tr>
      <w:tr w:rsidR="00320910" w:rsidRPr="00E84F7D" w14:paraId="51CB1918" w14:textId="77777777" w:rsidTr="008E6149">
        <w:trPr>
          <w:trHeight w:val="242"/>
        </w:trPr>
        <w:tc>
          <w:tcPr>
            <w:tcW w:w="1588" w:type="pct"/>
            <w:tcBorders>
              <w:bottom w:val="single" w:sz="4" w:space="0" w:color="auto"/>
            </w:tcBorders>
            <w:shd w:val="clear" w:color="auto" w:fill="auto"/>
            <w:noWrap/>
            <w:vAlign w:val="center"/>
          </w:tcPr>
          <w:p w14:paraId="265F5C47"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Centro</w:t>
            </w:r>
          </w:p>
        </w:tc>
        <w:tc>
          <w:tcPr>
            <w:tcW w:w="491" w:type="pct"/>
            <w:tcBorders>
              <w:bottom w:val="single" w:sz="4" w:space="0" w:color="auto"/>
            </w:tcBorders>
            <w:shd w:val="clear" w:color="auto" w:fill="auto"/>
            <w:vAlign w:val="center"/>
          </w:tcPr>
          <w:p w14:paraId="3363DA1F"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72</w:t>
            </w:r>
          </w:p>
        </w:tc>
        <w:tc>
          <w:tcPr>
            <w:tcW w:w="654" w:type="pct"/>
            <w:tcBorders>
              <w:bottom w:val="single" w:sz="4" w:space="0" w:color="auto"/>
            </w:tcBorders>
            <w:shd w:val="clear" w:color="auto" w:fill="auto"/>
            <w:vAlign w:val="center"/>
          </w:tcPr>
          <w:p w14:paraId="18B3B84C" w14:textId="2179F83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50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247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221</w:t>
            </w:r>
          </w:p>
        </w:tc>
        <w:tc>
          <w:tcPr>
            <w:tcW w:w="591" w:type="pct"/>
            <w:tcBorders>
              <w:bottom w:val="single" w:sz="4" w:space="0" w:color="auto"/>
            </w:tcBorders>
            <w:shd w:val="clear" w:color="auto" w:fill="auto"/>
            <w:vAlign w:val="center"/>
          </w:tcPr>
          <w:p w14:paraId="41B1F7B4" w14:textId="1DBDFC51"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01</w:t>
            </w:r>
          </w:p>
        </w:tc>
        <w:tc>
          <w:tcPr>
            <w:tcW w:w="491" w:type="pct"/>
            <w:tcBorders>
              <w:bottom w:val="single" w:sz="4" w:space="0" w:color="auto"/>
            </w:tcBorders>
            <w:vAlign w:val="center"/>
          </w:tcPr>
          <w:p w14:paraId="637881CA"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32</w:t>
            </w:r>
          </w:p>
        </w:tc>
        <w:tc>
          <w:tcPr>
            <w:tcW w:w="655" w:type="pct"/>
            <w:tcBorders>
              <w:bottom w:val="single" w:sz="4" w:space="0" w:color="auto"/>
            </w:tcBorders>
            <w:vAlign w:val="center"/>
          </w:tcPr>
          <w:p w14:paraId="21181493" w14:textId="21A98C6F"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188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773</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973</w:t>
            </w:r>
          </w:p>
        </w:tc>
        <w:tc>
          <w:tcPr>
            <w:tcW w:w="529" w:type="pct"/>
            <w:tcBorders>
              <w:bottom w:val="single" w:sz="4" w:space="0" w:color="auto"/>
            </w:tcBorders>
            <w:vAlign w:val="center"/>
          </w:tcPr>
          <w:p w14:paraId="33DA1E59" w14:textId="6063AE41"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002</w:t>
            </w:r>
          </w:p>
        </w:tc>
      </w:tr>
      <w:tr w:rsidR="00320910" w:rsidRPr="00E84F7D" w14:paraId="7F848713" w14:textId="77777777" w:rsidTr="008E6149">
        <w:trPr>
          <w:trHeight w:val="242"/>
        </w:trPr>
        <w:tc>
          <w:tcPr>
            <w:tcW w:w="1588" w:type="pct"/>
            <w:tcBorders>
              <w:bottom w:val="single" w:sz="4" w:space="0" w:color="auto"/>
            </w:tcBorders>
            <w:shd w:val="clear" w:color="auto" w:fill="auto"/>
            <w:noWrap/>
            <w:vAlign w:val="center"/>
          </w:tcPr>
          <w:p w14:paraId="778E829C"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Sud e isole</w:t>
            </w:r>
          </w:p>
        </w:tc>
        <w:tc>
          <w:tcPr>
            <w:tcW w:w="491" w:type="pct"/>
            <w:tcBorders>
              <w:bottom w:val="single" w:sz="4" w:space="0" w:color="auto"/>
            </w:tcBorders>
            <w:shd w:val="clear" w:color="auto" w:fill="auto"/>
            <w:vAlign w:val="center"/>
          </w:tcPr>
          <w:p w14:paraId="31359328"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130</w:t>
            </w:r>
          </w:p>
        </w:tc>
        <w:tc>
          <w:tcPr>
            <w:tcW w:w="654" w:type="pct"/>
            <w:tcBorders>
              <w:bottom w:val="single" w:sz="4" w:space="0" w:color="auto"/>
            </w:tcBorders>
            <w:shd w:val="clear" w:color="auto" w:fill="auto"/>
            <w:vAlign w:val="center"/>
          </w:tcPr>
          <w:p w14:paraId="6F5B425D" w14:textId="5A8B5732"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12</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263</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906</w:t>
            </w:r>
          </w:p>
        </w:tc>
        <w:tc>
          <w:tcPr>
            <w:tcW w:w="591" w:type="pct"/>
            <w:tcBorders>
              <w:bottom w:val="single" w:sz="4" w:space="0" w:color="auto"/>
            </w:tcBorders>
            <w:shd w:val="clear" w:color="auto" w:fill="auto"/>
            <w:vAlign w:val="center"/>
          </w:tcPr>
          <w:p w14:paraId="1B0DEC03" w14:textId="43CE4DFD"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11</w:t>
            </w:r>
          </w:p>
        </w:tc>
        <w:tc>
          <w:tcPr>
            <w:tcW w:w="491" w:type="pct"/>
            <w:tcBorders>
              <w:bottom w:val="single" w:sz="4" w:space="0" w:color="auto"/>
            </w:tcBorders>
            <w:vAlign w:val="center"/>
          </w:tcPr>
          <w:p w14:paraId="0023FD3F"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53</w:t>
            </w:r>
          </w:p>
        </w:tc>
        <w:tc>
          <w:tcPr>
            <w:tcW w:w="655" w:type="pct"/>
            <w:tcBorders>
              <w:bottom w:val="single" w:sz="4" w:space="0" w:color="auto"/>
            </w:tcBorders>
            <w:vAlign w:val="center"/>
          </w:tcPr>
          <w:p w14:paraId="7FB6F84E" w14:textId="4FB7A026"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440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338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219</w:t>
            </w:r>
          </w:p>
        </w:tc>
        <w:tc>
          <w:tcPr>
            <w:tcW w:w="529" w:type="pct"/>
            <w:tcBorders>
              <w:bottom w:val="single" w:sz="4" w:space="0" w:color="auto"/>
            </w:tcBorders>
            <w:vAlign w:val="center"/>
          </w:tcPr>
          <w:p w14:paraId="2960BECD" w14:textId="699E1173"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001</w:t>
            </w:r>
          </w:p>
        </w:tc>
      </w:tr>
      <w:tr w:rsidR="00320910" w:rsidRPr="00A227B4" w14:paraId="4E8D47F9" w14:textId="77777777" w:rsidTr="008E6149">
        <w:trPr>
          <w:trHeight w:val="242"/>
        </w:trPr>
        <w:tc>
          <w:tcPr>
            <w:tcW w:w="1588" w:type="pct"/>
            <w:tcBorders>
              <w:bottom w:val="single" w:sz="4" w:space="0" w:color="auto"/>
            </w:tcBorders>
            <w:shd w:val="clear" w:color="auto" w:fill="auto"/>
            <w:noWrap/>
            <w:vAlign w:val="center"/>
          </w:tcPr>
          <w:p w14:paraId="1A3EE47B" w14:textId="77777777" w:rsidR="00320910" w:rsidRPr="00E84F7D" w:rsidRDefault="00320910" w:rsidP="008E6149">
            <w:pPr>
              <w:spacing w:after="0" w:line="240" w:lineRule="auto"/>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Periodo di prima somministrazione del vaccino COVID-19</w:t>
            </w:r>
          </w:p>
        </w:tc>
        <w:tc>
          <w:tcPr>
            <w:tcW w:w="491" w:type="pct"/>
            <w:tcBorders>
              <w:bottom w:val="single" w:sz="4" w:space="0" w:color="auto"/>
            </w:tcBorders>
            <w:shd w:val="clear" w:color="auto" w:fill="auto"/>
            <w:vAlign w:val="center"/>
          </w:tcPr>
          <w:p w14:paraId="79D010D5"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color w:val="000000"/>
                <w:sz w:val="18"/>
                <w:szCs w:val="18"/>
                <w:lang w:val="it-IT"/>
              </w:rPr>
              <w:t> </w:t>
            </w:r>
          </w:p>
        </w:tc>
        <w:tc>
          <w:tcPr>
            <w:tcW w:w="654" w:type="pct"/>
            <w:tcBorders>
              <w:bottom w:val="single" w:sz="4" w:space="0" w:color="auto"/>
            </w:tcBorders>
            <w:shd w:val="clear" w:color="auto" w:fill="auto"/>
            <w:vAlign w:val="center"/>
          </w:tcPr>
          <w:p w14:paraId="3E22A687"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color w:val="000000"/>
                <w:sz w:val="18"/>
                <w:szCs w:val="18"/>
                <w:lang w:val="it-IT"/>
              </w:rPr>
              <w:t> </w:t>
            </w:r>
          </w:p>
        </w:tc>
        <w:tc>
          <w:tcPr>
            <w:tcW w:w="591" w:type="pct"/>
            <w:tcBorders>
              <w:bottom w:val="single" w:sz="4" w:space="0" w:color="auto"/>
            </w:tcBorders>
            <w:shd w:val="clear" w:color="auto" w:fill="auto"/>
            <w:vAlign w:val="center"/>
          </w:tcPr>
          <w:p w14:paraId="525B594A"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b/>
                <w:bCs/>
                <w:color w:val="000000"/>
                <w:sz w:val="18"/>
                <w:szCs w:val="18"/>
                <w:lang w:val="it-IT"/>
              </w:rPr>
              <w:t> </w:t>
            </w:r>
          </w:p>
        </w:tc>
        <w:tc>
          <w:tcPr>
            <w:tcW w:w="491" w:type="pct"/>
            <w:tcBorders>
              <w:bottom w:val="single" w:sz="4" w:space="0" w:color="auto"/>
            </w:tcBorders>
            <w:vAlign w:val="center"/>
          </w:tcPr>
          <w:p w14:paraId="157D5A54"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color w:val="000000"/>
                <w:sz w:val="18"/>
                <w:szCs w:val="18"/>
                <w:lang w:val="it-IT"/>
              </w:rPr>
              <w:t> </w:t>
            </w:r>
          </w:p>
        </w:tc>
        <w:tc>
          <w:tcPr>
            <w:tcW w:w="655" w:type="pct"/>
            <w:tcBorders>
              <w:bottom w:val="single" w:sz="4" w:space="0" w:color="auto"/>
            </w:tcBorders>
            <w:vAlign w:val="center"/>
          </w:tcPr>
          <w:p w14:paraId="04FF1851"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color w:val="000000"/>
                <w:sz w:val="18"/>
                <w:szCs w:val="18"/>
                <w:lang w:val="it-IT"/>
              </w:rPr>
              <w:t> </w:t>
            </w:r>
          </w:p>
        </w:tc>
        <w:tc>
          <w:tcPr>
            <w:tcW w:w="529" w:type="pct"/>
            <w:tcBorders>
              <w:bottom w:val="single" w:sz="4" w:space="0" w:color="auto"/>
            </w:tcBorders>
            <w:vAlign w:val="center"/>
          </w:tcPr>
          <w:p w14:paraId="4954A00F"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color w:val="000000"/>
                <w:sz w:val="18"/>
                <w:szCs w:val="18"/>
                <w:lang w:val="it-IT"/>
              </w:rPr>
              <w:t> </w:t>
            </w:r>
          </w:p>
        </w:tc>
      </w:tr>
      <w:tr w:rsidR="00320910" w:rsidRPr="00E84F7D" w14:paraId="050F0C36" w14:textId="77777777" w:rsidTr="008E6149">
        <w:trPr>
          <w:trHeight w:val="242"/>
        </w:trPr>
        <w:tc>
          <w:tcPr>
            <w:tcW w:w="1588" w:type="pct"/>
            <w:tcBorders>
              <w:bottom w:val="single" w:sz="4" w:space="0" w:color="auto"/>
            </w:tcBorders>
            <w:shd w:val="clear" w:color="auto" w:fill="auto"/>
            <w:noWrap/>
            <w:vAlign w:val="bottom"/>
          </w:tcPr>
          <w:p w14:paraId="1D0F0436"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27/12/2020-31/01/2021</w:t>
            </w:r>
          </w:p>
        </w:tc>
        <w:tc>
          <w:tcPr>
            <w:tcW w:w="491" w:type="pct"/>
            <w:tcBorders>
              <w:bottom w:val="single" w:sz="4" w:space="0" w:color="auto"/>
            </w:tcBorders>
            <w:shd w:val="clear" w:color="auto" w:fill="auto"/>
            <w:vAlign w:val="center"/>
          </w:tcPr>
          <w:p w14:paraId="64213C8B"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55</w:t>
            </w:r>
          </w:p>
        </w:tc>
        <w:tc>
          <w:tcPr>
            <w:tcW w:w="654" w:type="pct"/>
            <w:tcBorders>
              <w:bottom w:val="single" w:sz="4" w:space="0" w:color="auto"/>
            </w:tcBorders>
            <w:shd w:val="clear" w:color="auto" w:fill="auto"/>
            <w:vAlign w:val="center"/>
          </w:tcPr>
          <w:p w14:paraId="6A1C91C9" w14:textId="64BD1A1B"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158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658</w:t>
            </w:r>
          </w:p>
        </w:tc>
        <w:tc>
          <w:tcPr>
            <w:tcW w:w="591" w:type="pct"/>
            <w:tcBorders>
              <w:bottom w:val="single" w:sz="4" w:space="0" w:color="auto"/>
            </w:tcBorders>
            <w:shd w:val="clear" w:color="auto" w:fill="auto"/>
            <w:vAlign w:val="center"/>
          </w:tcPr>
          <w:p w14:paraId="6511BE6F" w14:textId="024EFB39"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03</w:t>
            </w:r>
          </w:p>
        </w:tc>
        <w:tc>
          <w:tcPr>
            <w:tcW w:w="491" w:type="pct"/>
            <w:tcBorders>
              <w:bottom w:val="single" w:sz="4" w:space="0" w:color="auto"/>
            </w:tcBorders>
            <w:vAlign w:val="center"/>
          </w:tcPr>
          <w:p w14:paraId="74C3902C"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25</w:t>
            </w:r>
          </w:p>
        </w:tc>
        <w:tc>
          <w:tcPr>
            <w:tcW w:w="655" w:type="pct"/>
            <w:tcBorders>
              <w:bottom w:val="single" w:sz="4" w:space="0" w:color="auto"/>
            </w:tcBorders>
            <w:vAlign w:val="center"/>
          </w:tcPr>
          <w:p w14:paraId="0D7EDEC0" w14:textId="3A0F23AA"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216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192</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456</w:t>
            </w:r>
          </w:p>
        </w:tc>
        <w:tc>
          <w:tcPr>
            <w:tcW w:w="529" w:type="pct"/>
            <w:tcBorders>
              <w:bottom w:val="single" w:sz="4" w:space="0" w:color="auto"/>
            </w:tcBorders>
            <w:vAlign w:val="center"/>
          </w:tcPr>
          <w:p w14:paraId="57341B7A" w14:textId="3EC68BCE"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001</w:t>
            </w:r>
          </w:p>
        </w:tc>
      </w:tr>
      <w:tr w:rsidR="00320910" w:rsidRPr="00E84F7D" w14:paraId="6131D3F7" w14:textId="77777777" w:rsidTr="008E6149">
        <w:trPr>
          <w:trHeight w:val="242"/>
        </w:trPr>
        <w:tc>
          <w:tcPr>
            <w:tcW w:w="1588" w:type="pct"/>
            <w:tcBorders>
              <w:bottom w:val="single" w:sz="4" w:space="0" w:color="auto"/>
            </w:tcBorders>
            <w:shd w:val="clear" w:color="auto" w:fill="auto"/>
            <w:noWrap/>
            <w:vAlign w:val="bottom"/>
          </w:tcPr>
          <w:p w14:paraId="2D5434E2"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01/02/2021-28/02/2021</w:t>
            </w:r>
          </w:p>
        </w:tc>
        <w:tc>
          <w:tcPr>
            <w:tcW w:w="491" w:type="pct"/>
            <w:tcBorders>
              <w:bottom w:val="single" w:sz="4" w:space="0" w:color="auto"/>
            </w:tcBorders>
            <w:shd w:val="clear" w:color="auto" w:fill="auto"/>
            <w:vAlign w:val="center"/>
          </w:tcPr>
          <w:p w14:paraId="127D7D99"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90</w:t>
            </w:r>
          </w:p>
        </w:tc>
        <w:tc>
          <w:tcPr>
            <w:tcW w:w="654" w:type="pct"/>
            <w:tcBorders>
              <w:bottom w:val="single" w:sz="4" w:space="0" w:color="auto"/>
            </w:tcBorders>
            <w:shd w:val="clear" w:color="auto" w:fill="auto"/>
            <w:vAlign w:val="center"/>
          </w:tcPr>
          <w:p w14:paraId="73481299" w14:textId="06958FD0"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528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654</w:t>
            </w:r>
          </w:p>
        </w:tc>
        <w:tc>
          <w:tcPr>
            <w:tcW w:w="591" w:type="pct"/>
            <w:tcBorders>
              <w:bottom w:val="single" w:sz="4" w:space="0" w:color="auto"/>
            </w:tcBorders>
            <w:shd w:val="clear" w:color="auto" w:fill="auto"/>
            <w:vAlign w:val="center"/>
          </w:tcPr>
          <w:p w14:paraId="2EFE6461" w14:textId="7BE7460A"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05</w:t>
            </w:r>
          </w:p>
        </w:tc>
        <w:tc>
          <w:tcPr>
            <w:tcW w:w="491" w:type="pct"/>
            <w:tcBorders>
              <w:bottom w:val="single" w:sz="4" w:space="0" w:color="auto"/>
            </w:tcBorders>
            <w:vAlign w:val="center"/>
          </w:tcPr>
          <w:p w14:paraId="705DAD2F"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32</w:t>
            </w:r>
          </w:p>
        </w:tc>
        <w:tc>
          <w:tcPr>
            <w:tcW w:w="655" w:type="pct"/>
            <w:tcBorders>
              <w:bottom w:val="single" w:sz="4" w:space="0" w:color="auto"/>
            </w:tcBorders>
            <w:vAlign w:val="center"/>
          </w:tcPr>
          <w:p w14:paraId="54C9DD02" w14:textId="6AD938EE"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162</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662</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956</w:t>
            </w:r>
          </w:p>
        </w:tc>
        <w:tc>
          <w:tcPr>
            <w:tcW w:w="529" w:type="pct"/>
            <w:tcBorders>
              <w:bottom w:val="single" w:sz="4" w:space="0" w:color="auto"/>
            </w:tcBorders>
            <w:vAlign w:val="center"/>
          </w:tcPr>
          <w:p w14:paraId="5F307628" w14:textId="0D199FA8"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002</w:t>
            </w:r>
          </w:p>
        </w:tc>
      </w:tr>
      <w:tr w:rsidR="00320910" w:rsidRPr="00E84F7D" w14:paraId="097957E3" w14:textId="77777777" w:rsidTr="008E6149">
        <w:trPr>
          <w:trHeight w:val="242"/>
        </w:trPr>
        <w:tc>
          <w:tcPr>
            <w:tcW w:w="1588" w:type="pct"/>
            <w:tcBorders>
              <w:bottom w:val="single" w:sz="4" w:space="0" w:color="auto"/>
            </w:tcBorders>
            <w:shd w:val="clear" w:color="auto" w:fill="auto"/>
            <w:noWrap/>
            <w:vAlign w:val="bottom"/>
          </w:tcPr>
          <w:p w14:paraId="4F9D9919"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01/03/2021-28/03/2021</w:t>
            </w:r>
          </w:p>
        </w:tc>
        <w:tc>
          <w:tcPr>
            <w:tcW w:w="491" w:type="pct"/>
            <w:tcBorders>
              <w:bottom w:val="single" w:sz="4" w:space="0" w:color="auto"/>
            </w:tcBorders>
            <w:shd w:val="clear" w:color="auto" w:fill="auto"/>
            <w:vAlign w:val="center"/>
          </w:tcPr>
          <w:p w14:paraId="6C074346"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215</w:t>
            </w:r>
          </w:p>
        </w:tc>
        <w:tc>
          <w:tcPr>
            <w:tcW w:w="654" w:type="pct"/>
            <w:tcBorders>
              <w:bottom w:val="single" w:sz="4" w:space="0" w:color="auto"/>
            </w:tcBorders>
            <w:shd w:val="clear" w:color="auto" w:fill="auto"/>
            <w:vAlign w:val="center"/>
          </w:tcPr>
          <w:p w14:paraId="6DACC38C" w14:textId="3092B1CA"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679</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441</w:t>
            </w:r>
          </w:p>
        </w:tc>
        <w:tc>
          <w:tcPr>
            <w:tcW w:w="591" w:type="pct"/>
            <w:tcBorders>
              <w:bottom w:val="single" w:sz="4" w:space="0" w:color="auto"/>
            </w:tcBorders>
            <w:shd w:val="clear" w:color="auto" w:fill="auto"/>
            <w:vAlign w:val="center"/>
          </w:tcPr>
          <w:p w14:paraId="17D6BA16" w14:textId="5844146A"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07</w:t>
            </w:r>
          </w:p>
        </w:tc>
        <w:tc>
          <w:tcPr>
            <w:tcW w:w="491" w:type="pct"/>
            <w:tcBorders>
              <w:bottom w:val="single" w:sz="4" w:space="0" w:color="auto"/>
            </w:tcBorders>
            <w:vAlign w:val="center"/>
          </w:tcPr>
          <w:p w14:paraId="23ADAAF2"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53</w:t>
            </w:r>
          </w:p>
        </w:tc>
        <w:tc>
          <w:tcPr>
            <w:tcW w:w="655" w:type="pct"/>
            <w:tcBorders>
              <w:bottom w:val="single" w:sz="4" w:space="0" w:color="auto"/>
            </w:tcBorders>
            <w:vAlign w:val="center"/>
          </w:tcPr>
          <w:p w14:paraId="5883CE4B" w14:textId="28ABFCF0"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232</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492</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550</w:t>
            </w:r>
          </w:p>
        </w:tc>
        <w:tc>
          <w:tcPr>
            <w:tcW w:w="529" w:type="pct"/>
            <w:tcBorders>
              <w:bottom w:val="single" w:sz="4" w:space="0" w:color="auto"/>
            </w:tcBorders>
            <w:vAlign w:val="center"/>
          </w:tcPr>
          <w:p w14:paraId="538DFEEB" w14:textId="6E892288"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002</w:t>
            </w:r>
          </w:p>
        </w:tc>
      </w:tr>
      <w:tr w:rsidR="00320910" w:rsidRPr="00E84F7D" w14:paraId="6A40AB74" w14:textId="77777777" w:rsidTr="008E6149">
        <w:trPr>
          <w:trHeight w:val="242"/>
        </w:trPr>
        <w:tc>
          <w:tcPr>
            <w:tcW w:w="1588" w:type="pct"/>
            <w:tcBorders>
              <w:bottom w:val="single" w:sz="4" w:space="0" w:color="auto"/>
            </w:tcBorders>
            <w:shd w:val="clear" w:color="auto" w:fill="auto"/>
            <w:noWrap/>
            <w:vAlign w:val="bottom"/>
          </w:tcPr>
          <w:p w14:paraId="0F2D6321"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29/03/2021-25/04/2021</w:t>
            </w:r>
          </w:p>
        </w:tc>
        <w:tc>
          <w:tcPr>
            <w:tcW w:w="491" w:type="pct"/>
            <w:tcBorders>
              <w:bottom w:val="single" w:sz="4" w:space="0" w:color="auto"/>
            </w:tcBorders>
            <w:shd w:val="clear" w:color="auto" w:fill="auto"/>
            <w:vAlign w:val="center"/>
          </w:tcPr>
          <w:p w14:paraId="5B409D49"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160</w:t>
            </w:r>
          </w:p>
        </w:tc>
        <w:tc>
          <w:tcPr>
            <w:tcW w:w="654" w:type="pct"/>
            <w:tcBorders>
              <w:bottom w:val="single" w:sz="4" w:space="0" w:color="auto"/>
            </w:tcBorders>
            <w:shd w:val="clear" w:color="auto" w:fill="auto"/>
            <w:vAlign w:val="center"/>
          </w:tcPr>
          <w:p w14:paraId="58DEF17B" w14:textId="4086F93B"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52</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648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104</w:t>
            </w:r>
          </w:p>
        </w:tc>
        <w:tc>
          <w:tcPr>
            <w:tcW w:w="591" w:type="pct"/>
            <w:tcBorders>
              <w:bottom w:val="single" w:sz="4" w:space="0" w:color="auto"/>
            </w:tcBorders>
            <w:shd w:val="clear" w:color="auto" w:fill="auto"/>
            <w:vAlign w:val="center"/>
          </w:tcPr>
          <w:p w14:paraId="7BE2CE1A" w14:textId="38088135"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03</w:t>
            </w:r>
          </w:p>
        </w:tc>
        <w:tc>
          <w:tcPr>
            <w:tcW w:w="491" w:type="pct"/>
            <w:tcBorders>
              <w:bottom w:val="single" w:sz="4" w:space="0" w:color="auto"/>
            </w:tcBorders>
            <w:vAlign w:val="center"/>
          </w:tcPr>
          <w:p w14:paraId="4709B428"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50</w:t>
            </w:r>
          </w:p>
        </w:tc>
        <w:tc>
          <w:tcPr>
            <w:tcW w:w="655" w:type="pct"/>
            <w:tcBorders>
              <w:bottom w:val="single" w:sz="4" w:space="0" w:color="auto"/>
            </w:tcBorders>
            <w:vAlign w:val="center"/>
          </w:tcPr>
          <w:p w14:paraId="5A512DFC" w14:textId="21631BAD"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319</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795</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673</w:t>
            </w:r>
          </w:p>
        </w:tc>
        <w:tc>
          <w:tcPr>
            <w:tcW w:w="529" w:type="pct"/>
            <w:tcBorders>
              <w:bottom w:val="single" w:sz="4" w:space="0" w:color="auto"/>
            </w:tcBorders>
            <w:vAlign w:val="center"/>
          </w:tcPr>
          <w:p w14:paraId="775DF303" w14:textId="4C42D18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002</w:t>
            </w:r>
          </w:p>
        </w:tc>
      </w:tr>
      <w:tr w:rsidR="00320910" w:rsidRPr="00E84F7D" w14:paraId="30D686B2" w14:textId="77777777" w:rsidTr="008E6149">
        <w:trPr>
          <w:trHeight w:val="242"/>
        </w:trPr>
        <w:tc>
          <w:tcPr>
            <w:tcW w:w="1588" w:type="pct"/>
            <w:tcBorders>
              <w:bottom w:val="single" w:sz="4" w:space="0" w:color="auto"/>
            </w:tcBorders>
            <w:shd w:val="clear" w:color="auto" w:fill="auto"/>
            <w:noWrap/>
            <w:vAlign w:val="bottom"/>
          </w:tcPr>
          <w:p w14:paraId="4DFE7A99"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26/04/2021-23/05/2021</w:t>
            </w:r>
          </w:p>
        </w:tc>
        <w:tc>
          <w:tcPr>
            <w:tcW w:w="491" w:type="pct"/>
            <w:tcBorders>
              <w:bottom w:val="single" w:sz="4" w:space="0" w:color="auto"/>
            </w:tcBorders>
            <w:shd w:val="clear" w:color="auto" w:fill="auto"/>
            <w:vAlign w:val="center"/>
          </w:tcPr>
          <w:p w14:paraId="36B22A48"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83</w:t>
            </w:r>
          </w:p>
        </w:tc>
        <w:tc>
          <w:tcPr>
            <w:tcW w:w="654" w:type="pct"/>
            <w:tcBorders>
              <w:bottom w:val="single" w:sz="4" w:space="0" w:color="auto"/>
            </w:tcBorders>
            <w:shd w:val="clear" w:color="auto" w:fill="auto"/>
            <w:vAlign w:val="center"/>
          </w:tcPr>
          <w:p w14:paraId="6C0CD8CE" w14:textId="18BFF7B3"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78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928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619</w:t>
            </w:r>
          </w:p>
        </w:tc>
        <w:tc>
          <w:tcPr>
            <w:tcW w:w="591" w:type="pct"/>
            <w:tcBorders>
              <w:bottom w:val="single" w:sz="4" w:space="0" w:color="auto"/>
            </w:tcBorders>
            <w:shd w:val="clear" w:color="auto" w:fill="auto"/>
            <w:vAlign w:val="center"/>
          </w:tcPr>
          <w:p w14:paraId="43E65012" w14:textId="0B4BC22C"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01</w:t>
            </w:r>
          </w:p>
        </w:tc>
        <w:tc>
          <w:tcPr>
            <w:tcW w:w="491" w:type="pct"/>
            <w:tcBorders>
              <w:bottom w:val="single" w:sz="4" w:space="0" w:color="auto"/>
            </w:tcBorders>
            <w:vAlign w:val="center"/>
          </w:tcPr>
          <w:p w14:paraId="759A987B"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13</w:t>
            </w:r>
          </w:p>
        </w:tc>
        <w:tc>
          <w:tcPr>
            <w:tcW w:w="655" w:type="pct"/>
            <w:tcBorders>
              <w:bottom w:val="single" w:sz="4" w:space="0" w:color="auto"/>
            </w:tcBorders>
            <w:vAlign w:val="center"/>
          </w:tcPr>
          <w:p w14:paraId="46D88DA3" w14:textId="6F87C0D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287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669</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919</w:t>
            </w:r>
          </w:p>
        </w:tc>
        <w:tc>
          <w:tcPr>
            <w:tcW w:w="529" w:type="pct"/>
            <w:tcBorders>
              <w:bottom w:val="single" w:sz="4" w:space="0" w:color="auto"/>
            </w:tcBorders>
            <w:vAlign w:val="center"/>
          </w:tcPr>
          <w:p w14:paraId="7CBE6FDE" w14:textId="03AEA41D"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0005</w:t>
            </w:r>
          </w:p>
        </w:tc>
      </w:tr>
      <w:tr w:rsidR="00320910" w:rsidRPr="00E84F7D" w14:paraId="30EFFEAC" w14:textId="77777777" w:rsidTr="008E6149">
        <w:trPr>
          <w:trHeight w:val="242"/>
        </w:trPr>
        <w:tc>
          <w:tcPr>
            <w:tcW w:w="1588" w:type="pct"/>
            <w:shd w:val="clear" w:color="auto" w:fill="auto"/>
            <w:noWrap/>
            <w:vAlign w:val="bottom"/>
          </w:tcPr>
          <w:p w14:paraId="30FA15A2"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24/05/2021-20/06/2021</w:t>
            </w:r>
          </w:p>
        </w:tc>
        <w:tc>
          <w:tcPr>
            <w:tcW w:w="491" w:type="pct"/>
            <w:shd w:val="clear" w:color="auto" w:fill="auto"/>
            <w:vAlign w:val="center"/>
          </w:tcPr>
          <w:p w14:paraId="051CBFD2"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12</w:t>
            </w:r>
          </w:p>
        </w:tc>
        <w:tc>
          <w:tcPr>
            <w:tcW w:w="654" w:type="pct"/>
            <w:shd w:val="clear" w:color="auto" w:fill="auto"/>
            <w:vAlign w:val="center"/>
          </w:tcPr>
          <w:p w14:paraId="3AF79835" w14:textId="1AB0833D"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116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517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465</w:t>
            </w:r>
          </w:p>
        </w:tc>
        <w:tc>
          <w:tcPr>
            <w:tcW w:w="591" w:type="pct"/>
            <w:shd w:val="clear" w:color="auto" w:fill="auto"/>
            <w:vAlign w:val="center"/>
          </w:tcPr>
          <w:p w14:paraId="4796F694" w14:textId="59820B55"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001</w:t>
            </w:r>
          </w:p>
        </w:tc>
        <w:tc>
          <w:tcPr>
            <w:tcW w:w="491" w:type="pct"/>
            <w:vAlign w:val="center"/>
          </w:tcPr>
          <w:p w14:paraId="057E76FE"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w:t>
            </w:r>
          </w:p>
        </w:tc>
        <w:tc>
          <w:tcPr>
            <w:tcW w:w="655" w:type="pct"/>
            <w:vAlign w:val="center"/>
          </w:tcPr>
          <w:p w14:paraId="5FA79EFA" w14:textId="54C042B9"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132</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030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503</w:t>
            </w:r>
          </w:p>
        </w:tc>
        <w:tc>
          <w:tcPr>
            <w:tcW w:w="529" w:type="pct"/>
            <w:vAlign w:val="center"/>
          </w:tcPr>
          <w:p w14:paraId="3C8AB935" w14:textId="2605D29A"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0002</w:t>
            </w:r>
          </w:p>
        </w:tc>
      </w:tr>
      <w:tr w:rsidR="00320910" w:rsidRPr="00E84F7D" w14:paraId="25F11F6D" w14:textId="77777777" w:rsidTr="008E6149">
        <w:trPr>
          <w:trHeight w:val="242"/>
        </w:trPr>
        <w:tc>
          <w:tcPr>
            <w:tcW w:w="1588" w:type="pct"/>
            <w:tcBorders>
              <w:bottom w:val="single" w:sz="4" w:space="0" w:color="auto"/>
            </w:tcBorders>
            <w:shd w:val="clear" w:color="auto" w:fill="auto"/>
            <w:noWrap/>
            <w:vAlign w:val="bottom"/>
          </w:tcPr>
          <w:p w14:paraId="0209CCDA"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21/06/2021-18/07/2021</w:t>
            </w:r>
          </w:p>
        </w:tc>
        <w:tc>
          <w:tcPr>
            <w:tcW w:w="491" w:type="pct"/>
            <w:tcBorders>
              <w:bottom w:val="single" w:sz="4" w:space="0" w:color="auto"/>
            </w:tcBorders>
            <w:shd w:val="clear" w:color="auto" w:fill="auto"/>
            <w:vAlign w:val="center"/>
          </w:tcPr>
          <w:p w14:paraId="4D047BCB"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8</w:t>
            </w:r>
          </w:p>
        </w:tc>
        <w:tc>
          <w:tcPr>
            <w:tcW w:w="654" w:type="pct"/>
            <w:tcBorders>
              <w:bottom w:val="single" w:sz="4" w:space="0" w:color="auto"/>
            </w:tcBorders>
            <w:shd w:val="clear" w:color="auto" w:fill="auto"/>
            <w:vAlign w:val="center"/>
          </w:tcPr>
          <w:p w14:paraId="400E0838" w14:textId="350ECD1D"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56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286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348</w:t>
            </w:r>
          </w:p>
        </w:tc>
        <w:tc>
          <w:tcPr>
            <w:tcW w:w="591" w:type="pct"/>
            <w:tcBorders>
              <w:bottom w:val="single" w:sz="4" w:space="0" w:color="auto"/>
            </w:tcBorders>
            <w:shd w:val="clear" w:color="auto" w:fill="auto"/>
            <w:vAlign w:val="center"/>
          </w:tcPr>
          <w:p w14:paraId="755E2548" w14:textId="3D001061"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001</w:t>
            </w:r>
          </w:p>
        </w:tc>
        <w:tc>
          <w:tcPr>
            <w:tcW w:w="491" w:type="pct"/>
            <w:tcBorders>
              <w:bottom w:val="single" w:sz="4" w:space="0" w:color="auto"/>
            </w:tcBorders>
            <w:vAlign w:val="center"/>
          </w:tcPr>
          <w:p w14:paraId="37C92C4C"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p>
        </w:tc>
        <w:tc>
          <w:tcPr>
            <w:tcW w:w="655" w:type="pct"/>
            <w:tcBorders>
              <w:bottom w:val="single" w:sz="4" w:space="0" w:color="auto"/>
            </w:tcBorders>
            <w:vAlign w:val="center"/>
          </w:tcPr>
          <w:p w14:paraId="3BB5443D" w14:textId="68270450"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129</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442</w:t>
            </w:r>
          </w:p>
        </w:tc>
        <w:tc>
          <w:tcPr>
            <w:tcW w:w="529" w:type="pct"/>
            <w:tcBorders>
              <w:bottom w:val="single" w:sz="4" w:space="0" w:color="auto"/>
            </w:tcBorders>
            <w:vAlign w:val="center"/>
          </w:tcPr>
          <w:p w14:paraId="3407AFD4"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 </w:t>
            </w:r>
          </w:p>
        </w:tc>
      </w:tr>
      <w:tr w:rsidR="00320910" w:rsidRPr="00A227B4" w14:paraId="3DAA150A" w14:textId="77777777" w:rsidTr="008E6149">
        <w:trPr>
          <w:trHeight w:val="242"/>
        </w:trPr>
        <w:tc>
          <w:tcPr>
            <w:tcW w:w="1588" w:type="pct"/>
            <w:tcBorders>
              <w:bottom w:val="single" w:sz="4" w:space="0" w:color="auto"/>
            </w:tcBorders>
            <w:shd w:val="clear" w:color="auto" w:fill="auto"/>
            <w:noWrap/>
            <w:vAlign w:val="center"/>
          </w:tcPr>
          <w:p w14:paraId="2E4F500C" w14:textId="77777777" w:rsidR="00320910" w:rsidRPr="00E84F7D" w:rsidRDefault="00320910" w:rsidP="008E6149">
            <w:pPr>
              <w:spacing w:after="0" w:line="240" w:lineRule="auto"/>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Categorie prioritarie per la vaccinazione</w:t>
            </w:r>
          </w:p>
        </w:tc>
        <w:tc>
          <w:tcPr>
            <w:tcW w:w="491" w:type="pct"/>
            <w:tcBorders>
              <w:bottom w:val="single" w:sz="4" w:space="0" w:color="auto"/>
            </w:tcBorders>
            <w:shd w:val="clear" w:color="auto" w:fill="auto"/>
            <w:vAlign w:val="center"/>
          </w:tcPr>
          <w:p w14:paraId="33BE9FB9"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color w:val="000000"/>
                <w:sz w:val="18"/>
                <w:szCs w:val="18"/>
                <w:lang w:val="it-IT"/>
              </w:rPr>
              <w:t> </w:t>
            </w:r>
          </w:p>
        </w:tc>
        <w:tc>
          <w:tcPr>
            <w:tcW w:w="654" w:type="pct"/>
            <w:tcBorders>
              <w:bottom w:val="single" w:sz="4" w:space="0" w:color="auto"/>
            </w:tcBorders>
            <w:shd w:val="clear" w:color="auto" w:fill="auto"/>
            <w:vAlign w:val="center"/>
          </w:tcPr>
          <w:p w14:paraId="33023B00"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color w:val="000000"/>
                <w:sz w:val="18"/>
                <w:szCs w:val="18"/>
                <w:lang w:val="it-IT"/>
              </w:rPr>
              <w:t> </w:t>
            </w:r>
          </w:p>
        </w:tc>
        <w:tc>
          <w:tcPr>
            <w:tcW w:w="591" w:type="pct"/>
            <w:tcBorders>
              <w:bottom w:val="single" w:sz="4" w:space="0" w:color="auto"/>
            </w:tcBorders>
            <w:shd w:val="clear" w:color="auto" w:fill="auto"/>
            <w:vAlign w:val="center"/>
          </w:tcPr>
          <w:p w14:paraId="779E2AB7"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color w:val="000000"/>
                <w:sz w:val="18"/>
                <w:szCs w:val="18"/>
                <w:lang w:val="it-IT"/>
              </w:rPr>
              <w:t> </w:t>
            </w:r>
          </w:p>
        </w:tc>
        <w:tc>
          <w:tcPr>
            <w:tcW w:w="491" w:type="pct"/>
            <w:tcBorders>
              <w:bottom w:val="single" w:sz="4" w:space="0" w:color="auto"/>
            </w:tcBorders>
            <w:vAlign w:val="center"/>
          </w:tcPr>
          <w:p w14:paraId="09D9A5C5"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color w:val="000000"/>
                <w:sz w:val="18"/>
                <w:szCs w:val="18"/>
                <w:lang w:val="it-IT"/>
              </w:rPr>
              <w:t> </w:t>
            </w:r>
          </w:p>
        </w:tc>
        <w:tc>
          <w:tcPr>
            <w:tcW w:w="655" w:type="pct"/>
            <w:tcBorders>
              <w:bottom w:val="single" w:sz="4" w:space="0" w:color="auto"/>
            </w:tcBorders>
            <w:vAlign w:val="center"/>
          </w:tcPr>
          <w:p w14:paraId="7DB930A2"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color w:val="000000"/>
                <w:sz w:val="18"/>
                <w:szCs w:val="18"/>
                <w:lang w:val="it-IT"/>
              </w:rPr>
              <w:t> </w:t>
            </w:r>
          </w:p>
        </w:tc>
        <w:tc>
          <w:tcPr>
            <w:tcW w:w="529" w:type="pct"/>
            <w:tcBorders>
              <w:bottom w:val="single" w:sz="4" w:space="0" w:color="auto"/>
            </w:tcBorders>
            <w:vAlign w:val="center"/>
          </w:tcPr>
          <w:p w14:paraId="448BAE4A"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color w:val="000000"/>
                <w:sz w:val="18"/>
                <w:szCs w:val="18"/>
                <w:lang w:val="it-IT"/>
              </w:rPr>
              <w:t> </w:t>
            </w:r>
          </w:p>
        </w:tc>
      </w:tr>
      <w:tr w:rsidR="00320910" w:rsidRPr="00E84F7D" w14:paraId="2E693E5B" w14:textId="77777777" w:rsidTr="008E6149">
        <w:trPr>
          <w:trHeight w:val="242"/>
        </w:trPr>
        <w:tc>
          <w:tcPr>
            <w:tcW w:w="1588" w:type="pct"/>
            <w:tcBorders>
              <w:bottom w:val="single" w:sz="4" w:space="0" w:color="auto"/>
            </w:tcBorders>
            <w:shd w:val="clear" w:color="auto" w:fill="auto"/>
            <w:noWrap/>
            <w:vAlign w:val="bottom"/>
          </w:tcPr>
          <w:p w14:paraId="40F5F766"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Operatori sanitari</w:t>
            </w:r>
          </w:p>
        </w:tc>
        <w:tc>
          <w:tcPr>
            <w:tcW w:w="491" w:type="pct"/>
            <w:tcBorders>
              <w:bottom w:val="single" w:sz="4" w:space="0" w:color="auto"/>
            </w:tcBorders>
            <w:shd w:val="clear" w:color="auto" w:fill="auto"/>
            <w:vAlign w:val="center"/>
          </w:tcPr>
          <w:p w14:paraId="3720EAEF"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28</w:t>
            </w:r>
          </w:p>
        </w:tc>
        <w:tc>
          <w:tcPr>
            <w:tcW w:w="654" w:type="pct"/>
            <w:tcBorders>
              <w:bottom w:val="single" w:sz="4" w:space="0" w:color="auto"/>
            </w:tcBorders>
            <w:shd w:val="clear" w:color="auto" w:fill="auto"/>
            <w:vAlign w:val="center"/>
          </w:tcPr>
          <w:p w14:paraId="04E1955D" w14:textId="4B6FABF0"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671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507</w:t>
            </w:r>
          </w:p>
        </w:tc>
        <w:tc>
          <w:tcPr>
            <w:tcW w:w="591" w:type="pct"/>
            <w:tcBorders>
              <w:bottom w:val="single" w:sz="4" w:space="0" w:color="auto"/>
            </w:tcBorders>
            <w:shd w:val="clear" w:color="auto" w:fill="auto"/>
            <w:vAlign w:val="center"/>
          </w:tcPr>
          <w:p w14:paraId="5D2BCFA6" w14:textId="65A856E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01</w:t>
            </w:r>
          </w:p>
        </w:tc>
        <w:tc>
          <w:tcPr>
            <w:tcW w:w="491" w:type="pct"/>
            <w:tcBorders>
              <w:bottom w:val="single" w:sz="4" w:space="0" w:color="auto"/>
            </w:tcBorders>
            <w:vAlign w:val="center"/>
          </w:tcPr>
          <w:p w14:paraId="74C9FC5A"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11</w:t>
            </w:r>
          </w:p>
        </w:tc>
        <w:tc>
          <w:tcPr>
            <w:tcW w:w="655" w:type="pct"/>
            <w:tcBorders>
              <w:bottom w:val="single" w:sz="4" w:space="0" w:color="auto"/>
            </w:tcBorders>
            <w:vAlign w:val="center"/>
          </w:tcPr>
          <w:p w14:paraId="03E2FBDD" w14:textId="6B39F59F"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224</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157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369</w:t>
            </w:r>
          </w:p>
        </w:tc>
        <w:tc>
          <w:tcPr>
            <w:tcW w:w="529" w:type="pct"/>
            <w:tcBorders>
              <w:bottom w:val="single" w:sz="4" w:space="0" w:color="auto"/>
            </w:tcBorders>
            <w:vAlign w:val="center"/>
          </w:tcPr>
          <w:p w14:paraId="35E507CE" w14:textId="1E082DF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0005</w:t>
            </w:r>
          </w:p>
        </w:tc>
      </w:tr>
      <w:tr w:rsidR="00320910" w:rsidRPr="00E84F7D" w14:paraId="27BF5053" w14:textId="77777777" w:rsidTr="008E6149">
        <w:trPr>
          <w:trHeight w:val="242"/>
        </w:trPr>
        <w:tc>
          <w:tcPr>
            <w:tcW w:w="1588" w:type="pct"/>
            <w:tcBorders>
              <w:bottom w:val="single" w:sz="4" w:space="0" w:color="auto"/>
            </w:tcBorders>
            <w:shd w:val="clear" w:color="auto" w:fill="auto"/>
            <w:noWrap/>
            <w:vAlign w:val="bottom"/>
          </w:tcPr>
          <w:p w14:paraId="1689FEB4"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Ospiti RSA</w:t>
            </w:r>
          </w:p>
        </w:tc>
        <w:tc>
          <w:tcPr>
            <w:tcW w:w="491" w:type="pct"/>
            <w:tcBorders>
              <w:bottom w:val="single" w:sz="4" w:space="0" w:color="auto"/>
            </w:tcBorders>
            <w:shd w:val="clear" w:color="auto" w:fill="auto"/>
            <w:vAlign w:val="center"/>
          </w:tcPr>
          <w:p w14:paraId="46FD0A78"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52</w:t>
            </w:r>
          </w:p>
        </w:tc>
        <w:tc>
          <w:tcPr>
            <w:tcW w:w="654" w:type="pct"/>
            <w:tcBorders>
              <w:bottom w:val="single" w:sz="4" w:space="0" w:color="auto"/>
            </w:tcBorders>
            <w:shd w:val="clear" w:color="auto" w:fill="auto"/>
            <w:vAlign w:val="center"/>
          </w:tcPr>
          <w:p w14:paraId="74877794" w14:textId="1A35B6BD"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3</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934</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346</w:t>
            </w:r>
          </w:p>
        </w:tc>
        <w:tc>
          <w:tcPr>
            <w:tcW w:w="591" w:type="pct"/>
            <w:tcBorders>
              <w:bottom w:val="single" w:sz="4" w:space="0" w:color="auto"/>
            </w:tcBorders>
            <w:shd w:val="clear" w:color="auto" w:fill="auto"/>
            <w:vAlign w:val="center"/>
          </w:tcPr>
          <w:p w14:paraId="0C036EBE" w14:textId="4A795C9D"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13</w:t>
            </w:r>
          </w:p>
        </w:tc>
        <w:tc>
          <w:tcPr>
            <w:tcW w:w="491" w:type="pct"/>
            <w:tcBorders>
              <w:bottom w:val="single" w:sz="4" w:space="0" w:color="auto"/>
            </w:tcBorders>
            <w:vAlign w:val="center"/>
          </w:tcPr>
          <w:p w14:paraId="7ABC19CE"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17</w:t>
            </w:r>
          </w:p>
        </w:tc>
        <w:tc>
          <w:tcPr>
            <w:tcW w:w="655" w:type="pct"/>
            <w:tcBorders>
              <w:bottom w:val="single" w:sz="4" w:space="0" w:color="auto"/>
            </w:tcBorders>
            <w:vAlign w:val="center"/>
          </w:tcPr>
          <w:p w14:paraId="1D36E92D" w14:textId="021E39E6"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37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007</w:t>
            </w:r>
          </w:p>
        </w:tc>
        <w:tc>
          <w:tcPr>
            <w:tcW w:w="529" w:type="pct"/>
            <w:tcBorders>
              <w:bottom w:val="single" w:sz="4" w:space="0" w:color="auto"/>
            </w:tcBorders>
            <w:vAlign w:val="center"/>
          </w:tcPr>
          <w:p w14:paraId="5E9C2835" w14:textId="109054CC"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005</w:t>
            </w:r>
          </w:p>
        </w:tc>
      </w:tr>
      <w:tr w:rsidR="00320910" w:rsidRPr="00E84F7D" w14:paraId="21651001" w14:textId="77777777" w:rsidTr="008E6149">
        <w:trPr>
          <w:trHeight w:val="242"/>
        </w:trPr>
        <w:tc>
          <w:tcPr>
            <w:tcW w:w="1588" w:type="pct"/>
            <w:tcBorders>
              <w:bottom w:val="single" w:sz="4" w:space="0" w:color="auto"/>
            </w:tcBorders>
            <w:shd w:val="clear" w:color="auto" w:fill="auto"/>
            <w:noWrap/>
            <w:vAlign w:val="bottom"/>
          </w:tcPr>
          <w:p w14:paraId="7179362C"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Individui affetti da patologie</w:t>
            </w:r>
          </w:p>
        </w:tc>
        <w:tc>
          <w:tcPr>
            <w:tcW w:w="491" w:type="pct"/>
            <w:tcBorders>
              <w:bottom w:val="single" w:sz="4" w:space="0" w:color="auto"/>
            </w:tcBorders>
            <w:shd w:val="clear" w:color="auto" w:fill="auto"/>
            <w:vAlign w:val="center"/>
          </w:tcPr>
          <w:p w14:paraId="522034C3"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134</w:t>
            </w:r>
          </w:p>
        </w:tc>
        <w:tc>
          <w:tcPr>
            <w:tcW w:w="654" w:type="pct"/>
            <w:tcBorders>
              <w:bottom w:val="single" w:sz="4" w:space="0" w:color="auto"/>
            </w:tcBorders>
            <w:shd w:val="clear" w:color="auto" w:fill="auto"/>
            <w:vAlign w:val="center"/>
          </w:tcPr>
          <w:p w14:paraId="38950391" w14:textId="6A44ABAE"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55</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993</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162</w:t>
            </w:r>
          </w:p>
        </w:tc>
        <w:tc>
          <w:tcPr>
            <w:tcW w:w="591" w:type="pct"/>
            <w:tcBorders>
              <w:bottom w:val="single" w:sz="4" w:space="0" w:color="auto"/>
            </w:tcBorders>
            <w:shd w:val="clear" w:color="auto" w:fill="auto"/>
            <w:vAlign w:val="center"/>
          </w:tcPr>
          <w:p w14:paraId="47B6ACA3" w14:textId="134505C6"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02</w:t>
            </w:r>
          </w:p>
        </w:tc>
        <w:tc>
          <w:tcPr>
            <w:tcW w:w="491" w:type="pct"/>
            <w:tcBorders>
              <w:bottom w:val="single" w:sz="4" w:space="0" w:color="auto"/>
            </w:tcBorders>
            <w:vAlign w:val="center"/>
          </w:tcPr>
          <w:p w14:paraId="4609D6AF"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44</w:t>
            </w:r>
          </w:p>
        </w:tc>
        <w:tc>
          <w:tcPr>
            <w:tcW w:w="655" w:type="pct"/>
            <w:tcBorders>
              <w:bottom w:val="single" w:sz="4" w:space="0" w:color="auto"/>
            </w:tcBorders>
            <w:vAlign w:val="center"/>
          </w:tcPr>
          <w:p w14:paraId="027DDFE1" w14:textId="10271ADE"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241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034</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541</w:t>
            </w:r>
          </w:p>
        </w:tc>
        <w:tc>
          <w:tcPr>
            <w:tcW w:w="529" w:type="pct"/>
            <w:tcBorders>
              <w:bottom w:val="single" w:sz="4" w:space="0" w:color="auto"/>
            </w:tcBorders>
            <w:vAlign w:val="center"/>
          </w:tcPr>
          <w:p w14:paraId="32026839" w14:textId="2132F3E2"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002</w:t>
            </w:r>
          </w:p>
        </w:tc>
      </w:tr>
      <w:tr w:rsidR="00320910" w:rsidRPr="00E84F7D" w14:paraId="7E78470A" w14:textId="77777777" w:rsidTr="008E6149">
        <w:trPr>
          <w:trHeight w:val="242"/>
        </w:trPr>
        <w:tc>
          <w:tcPr>
            <w:tcW w:w="1588" w:type="pct"/>
            <w:shd w:val="clear" w:color="auto" w:fill="auto"/>
            <w:noWrap/>
            <w:vAlign w:val="bottom"/>
          </w:tcPr>
          <w:p w14:paraId="3D23B0CF"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Individui immunocompromessi</w:t>
            </w:r>
          </w:p>
        </w:tc>
        <w:tc>
          <w:tcPr>
            <w:tcW w:w="491" w:type="pct"/>
            <w:shd w:val="clear" w:color="auto" w:fill="auto"/>
            <w:vAlign w:val="center"/>
          </w:tcPr>
          <w:p w14:paraId="1D42C2C1"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w:t>
            </w:r>
          </w:p>
        </w:tc>
        <w:tc>
          <w:tcPr>
            <w:tcW w:w="654" w:type="pct"/>
            <w:shd w:val="clear" w:color="auto" w:fill="auto"/>
            <w:vAlign w:val="center"/>
          </w:tcPr>
          <w:p w14:paraId="25361984" w14:textId="1767C060"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988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205</w:t>
            </w:r>
          </w:p>
        </w:tc>
        <w:tc>
          <w:tcPr>
            <w:tcW w:w="591" w:type="pct"/>
            <w:shd w:val="clear" w:color="auto" w:fill="auto"/>
            <w:vAlign w:val="center"/>
          </w:tcPr>
          <w:p w14:paraId="277DA7A9" w14:textId="17C9F16F"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02</w:t>
            </w:r>
          </w:p>
        </w:tc>
        <w:tc>
          <w:tcPr>
            <w:tcW w:w="491" w:type="pct"/>
            <w:vAlign w:val="center"/>
          </w:tcPr>
          <w:p w14:paraId="1A95B58B"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3</w:t>
            </w:r>
          </w:p>
        </w:tc>
        <w:tc>
          <w:tcPr>
            <w:tcW w:w="655" w:type="pct"/>
            <w:vAlign w:val="center"/>
          </w:tcPr>
          <w:p w14:paraId="7C626358" w14:textId="10280345"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4</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206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534</w:t>
            </w:r>
          </w:p>
        </w:tc>
        <w:tc>
          <w:tcPr>
            <w:tcW w:w="529" w:type="pct"/>
            <w:vAlign w:val="center"/>
          </w:tcPr>
          <w:p w14:paraId="658A1C9B" w14:textId="6162C745"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01</w:t>
            </w:r>
          </w:p>
        </w:tc>
      </w:tr>
      <w:tr w:rsidR="00320910" w:rsidRPr="00E84F7D" w14:paraId="0C8D4209" w14:textId="77777777" w:rsidTr="008E6149">
        <w:trPr>
          <w:trHeight w:val="242"/>
        </w:trPr>
        <w:tc>
          <w:tcPr>
            <w:tcW w:w="1588" w:type="pct"/>
            <w:tcBorders>
              <w:bottom w:val="single" w:sz="4" w:space="0" w:color="auto"/>
            </w:tcBorders>
            <w:shd w:val="clear" w:color="auto" w:fill="auto"/>
            <w:noWrap/>
            <w:vAlign w:val="bottom"/>
          </w:tcPr>
          <w:p w14:paraId="674A3794" w14:textId="77777777" w:rsidR="00320910" w:rsidRPr="00E84F7D" w:rsidRDefault="00320910" w:rsidP="008E6149">
            <w:pPr>
              <w:spacing w:after="0" w:line="240" w:lineRule="auto"/>
              <w:ind w:left="209"/>
              <w:rPr>
                <w:rFonts w:eastAsia="Times New Roman" w:cstheme="minorHAnsi"/>
                <w:strike/>
                <w:color w:val="000000" w:themeColor="text1"/>
                <w:sz w:val="18"/>
                <w:szCs w:val="18"/>
                <w:lang w:val="it-IT" w:eastAsia="it-IT"/>
              </w:rPr>
            </w:pPr>
            <w:r w:rsidRPr="00E84F7D">
              <w:rPr>
                <w:rFonts w:eastAsia="Times New Roman" w:cstheme="minorHAnsi"/>
                <w:color w:val="000000" w:themeColor="text1"/>
                <w:sz w:val="18"/>
                <w:szCs w:val="18"/>
                <w:lang w:val="it-IT" w:eastAsia="it-IT"/>
              </w:rPr>
              <w:t>Altre categorie prioritarie</w:t>
            </w:r>
          </w:p>
        </w:tc>
        <w:tc>
          <w:tcPr>
            <w:tcW w:w="491" w:type="pct"/>
            <w:tcBorders>
              <w:bottom w:val="single" w:sz="4" w:space="0" w:color="auto"/>
            </w:tcBorders>
            <w:shd w:val="clear" w:color="auto" w:fill="auto"/>
            <w:vAlign w:val="center"/>
          </w:tcPr>
          <w:p w14:paraId="254306CD" w14:textId="77777777" w:rsidR="00320910" w:rsidRPr="00E84F7D" w:rsidRDefault="00320910" w:rsidP="008E6149">
            <w:pPr>
              <w:spacing w:after="0" w:line="240" w:lineRule="auto"/>
              <w:jc w:val="right"/>
              <w:rPr>
                <w:rFonts w:ascii="Calibri" w:hAnsi="Calibri" w:cs="Calibri"/>
                <w:color w:val="000000"/>
                <w:sz w:val="18"/>
                <w:szCs w:val="18"/>
                <w:lang w:val="it-IT"/>
              </w:rPr>
            </w:pPr>
            <w:r w:rsidRPr="00E84F7D">
              <w:rPr>
                <w:rFonts w:ascii="Calibri" w:hAnsi="Calibri" w:cs="Calibri"/>
                <w:color w:val="000000"/>
                <w:sz w:val="18"/>
                <w:szCs w:val="18"/>
                <w:lang w:val="it-IT"/>
              </w:rPr>
              <w:t>25</w:t>
            </w:r>
          </w:p>
        </w:tc>
        <w:tc>
          <w:tcPr>
            <w:tcW w:w="654" w:type="pct"/>
            <w:tcBorders>
              <w:bottom w:val="single" w:sz="4" w:space="0" w:color="auto"/>
            </w:tcBorders>
            <w:shd w:val="clear" w:color="auto" w:fill="auto"/>
            <w:vAlign w:val="center"/>
          </w:tcPr>
          <w:p w14:paraId="1768BEBE" w14:textId="052B1890" w:rsidR="00320910" w:rsidRPr="00E84F7D" w:rsidRDefault="00320910" w:rsidP="008E6149">
            <w:pPr>
              <w:spacing w:after="0" w:line="240" w:lineRule="auto"/>
              <w:jc w:val="right"/>
              <w:rPr>
                <w:rFonts w:ascii="Calibri" w:hAnsi="Calibri" w:cs="Calibri"/>
                <w:color w:val="000000"/>
                <w:sz w:val="18"/>
                <w:szCs w:val="18"/>
                <w:lang w:val="it-IT"/>
              </w:rPr>
            </w:pPr>
            <w:r w:rsidRPr="00E84F7D">
              <w:rPr>
                <w:rFonts w:ascii="Calibri" w:hAnsi="Calibri" w:cs="Calibri"/>
                <w:color w:val="000000"/>
                <w:sz w:val="18"/>
                <w:szCs w:val="18"/>
                <w:lang w:val="it-IT"/>
              </w:rPr>
              <w:t>35</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459</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067</w:t>
            </w:r>
          </w:p>
        </w:tc>
        <w:tc>
          <w:tcPr>
            <w:tcW w:w="591" w:type="pct"/>
            <w:tcBorders>
              <w:bottom w:val="single" w:sz="4" w:space="0" w:color="auto"/>
            </w:tcBorders>
            <w:shd w:val="clear" w:color="auto" w:fill="auto"/>
            <w:vAlign w:val="center"/>
          </w:tcPr>
          <w:p w14:paraId="286A3174" w14:textId="6542893E" w:rsidR="00320910" w:rsidRPr="00E84F7D" w:rsidRDefault="00320910" w:rsidP="008E6149">
            <w:pPr>
              <w:spacing w:after="0" w:line="240" w:lineRule="auto"/>
              <w:jc w:val="right"/>
              <w:rPr>
                <w:rFonts w:ascii="Calibri" w:hAnsi="Calibri" w:cs="Calibri"/>
                <w:color w:val="000000"/>
                <w:sz w:val="18"/>
                <w:szCs w:val="18"/>
                <w:lang w:val="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01</w:t>
            </w:r>
          </w:p>
        </w:tc>
        <w:tc>
          <w:tcPr>
            <w:tcW w:w="491" w:type="pct"/>
            <w:tcBorders>
              <w:bottom w:val="single" w:sz="4" w:space="0" w:color="auto"/>
            </w:tcBorders>
            <w:vAlign w:val="center"/>
          </w:tcPr>
          <w:p w14:paraId="0CF7EBFC" w14:textId="77777777" w:rsidR="00320910" w:rsidRPr="00E84F7D" w:rsidRDefault="00320910" w:rsidP="008E6149">
            <w:pPr>
              <w:spacing w:after="0" w:line="240" w:lineRule="auto"/>
              <w:jc w:val="right"/>
              <w:rPr>
                <w:rFonts w:ascii="Calibri" w:hAnsi="Calibri" w:cs="Calibri"/>
                <w:color w:val="000000"/>
                <w:sz w:val="18"/>
                <w:szCs w:val="18"/>
                <w:lang w:val="it-IT"/>
              </w:rPr>
            </w:pPr>
            <w:r w:rsidRPr="00E84F7D">
              <w:rPr>
                <w:rFonts w:ascii="Calibri" w:hAnsi="Calibri" w:cs="Calibri"/>
                <w:color w:val="000000"/>
                <w:sz w:val="18"/>
                <w:szCs w:val="18"/>
                <w:lang w:val="it-IT"/>
              </w:rPr>
              <w:t>9</w:t>
            </w:r>
          </w:p>
        </w:tc>
        <w:tc>
          <w:tcPr>
            <w:tcW w:w="655" w:type="pct"/>
            <w:tcBorders>
              <w:bottom w:val="single" w:sz="4" w:space="0" w:color="auto"/>
            </w:tcBorders>
            <w:vAlign w:val="center"/>
          </w:tcPr>
          <w:p w14:paraId="1E24E8E8" w14:textId="721D7B6D" w:rsidR="00320910" w:rsidRPr="00E84F7D" w:rsidRDefault="00320910" w:rsidP="008E6149">
            <w:pPr>
              <w:spacing w:after="0" w:line="240" w:lineRule="auto"/>
              <w:jc w:val="right"/>
              <w:rPr>
                <w:rFonts w:ascii="Calibri" w:hAnsi="Calibri" w:cs="Calibri"/>
                <w:color w:val="000000"/>
                <w:sz w:val="18"/>
                <w:szCs w:val="18"/>
                <w:lang w:val="it-IT"/>
              </w:rPr>
            </w:pPr>
            <w:r w:rsidRPr="00E84F7D">
              <w:rPr>
                <w:rFonts w:ascii="Calibri" w:hAnsi="Calibri" w:cs="Calibri"/>
                <w:color w:val="000000"/>
                <w:sz w:val="18"/>
                <w:szCs w:val="18"/>
                <w:lang w:val="it-IT"/>
              </w:rPr>
              <w:t>159</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424</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225</w:t>
            </w:r>
          </w:p>
        </w:tc>
        <w:tc>
          <w:tcPr>
            <w:tcW w:w="529" w:type="pct"/>
            <w:tcBorders>
              <w:bottom w:val="single" w:sz="4" w:space="0" w:color="auto"/>
            </w:tcBorders>
            <w:vAlign w:val="center"/>
          </w:tcPr>
          <w:p w14:paraId="0907D544" w14:textId="436E3FD6" w:rsidR="00320910" w:rsidRPr="00E84F7D" w:rsidRDefault="00320910" w:rsidP="008E6149">
            <w:pPr>
              <w:spacing w:after="0" w:line="240" w:lineRule="auto"/>
              <w:jc w:val="right"/>
              <w:rPr>
                <w:rFonts w:ascii="Calibri" w:hAnsi="Calibri" w:cs="Calibri"/>
                <w:color w:val="000000"/>
                <w:sz w:val="18"/>
                <w:szCs w:val="18"/>
                <w:lang w:val="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001</w:t>
            </w:r>
          </w:p>
        </w:tc>
      </w:tr>
      <w:tr w:rsidR="00320910" w:rsidRPr="00E84F7D" w14:paraId="250262D9" w14:textId="77777777" w:rsidTr="008E6149">
        <w:trPr>
          <w:trHeight w:val="242"/>
        </w:trPr>
        <w:tc>
          <w:tcPr>
            <w:tcW w:w="1588" w:type="pct"/>
            <w:tcBorders>
              <w:bottom w:val="single" w:sz="4" w:space="0" w:color="auto"/>
            </w:tcBorders>
            <w:shd w:val="clear" w:color="auto" w:fill="auto"/>
            <w:noWrap/>
            <w:vAlign w:val="bottom"/>
          </w:tcPr>
          <w:p w14:paraId="222B0CD1" w14:textId="77777777" w:rsidR="00320910" w:rsidRPr="00E84F7D" w:rsidRDefault="00320910" w:rsidP="008E6149">
            <w:pPr>
              <w:spacing w:after="0" w:line="240" w:lineRule="auto"/>
              <w:ind w:left="209"/>
              <w:rPr>
                <w:rFonts w:eastAsia="Times New Roman" w:cstheme="minorHAnsi"/>
                <w:strike/>
                <w:color w:val="000000" w:themeColor="text1"/>
                <w:sz w:val="18"/>
                <w:szCs w:val="18"/>
                <w:lang w:val="it-IT" w:eastAsia="it-IT"/>
              </w:rPr>
            </w:pPr>
            <w:r w:rsidRPr="00E84F7D">
              <w:rPr>
                <w:rFonts w:eastAsia="Times New Roman" w:cstheme="minorHAnsi"/>
                <w:color w:val="000000" w:themeColor="text1"/>
                <w:sz w:val="18"/>
                <w:szCs w:val="18"/>
                <w:lang w:val="it-IT" w:eastAsia="it-IT"/>
              </w:rPr>
              <w:t>Nessuna/non specificata</w:t>
            </w:r>
          </w:p>
        </w:tc>
        <w:tc>
          <w:tcPr>
            <w:tcW w:w="491" w:type="pct"/>
            <w:tcBorders>
              <w:bottom w:val="single" w:sz="4" w:space="0" w:color="auto"/>
            </w:tcBorders>
            <w:shd w:val="clear" w:color="auto" w:fill="auto"/>
            <w:vAlign w:val="center"/>
          </w:tcPr>
          <w:p w14:paraId="68977495" w14:textId="77777777" w:rsidR="00320910" w:rsidRPr="00E84F7D" w:rsidRDefault="00320910" w:rsidP="008E6149">
            <w:pPr>
              <w:spacing w:after="0" w:line="240" w:lineRule="auto"/>
              <w:jc w:val="right"/>
              <w:rPr>
                <w:rFonts w:ascii="Calibri" w:hAnsi="Calibri" w:cs="Calibri"/>
                <w:strike/>
                <w:color w:val="000000"/>
                <w:sz w:val="18"/>
                <w:szCs w:val="18"/>
                <w:lang w:val="it-IT"/>
              </w:rPr>
            </w:pPr>
            <w:r w:rsidRPr="00E84F7D">
              <w:rPr>
                <w:rFonts w:ascii="Calibri" w:hAnsi="Calibri" w:cs="Calibri"/>
                <w:color w:val="000000"/>
                <w:sz w:val="18"/>
                <w:szCs w:val="18"/>
                <w:lang w:val="it-IT"/>
              </w:rPr>
              <w:t>382</w:t>
            </w:r>
          </w:p>
        </w:tc>
        <w:tc>
          <w:tcPr>
            <w:tcW w:w="654" w:type="pct"/>
            <w:tcBorders>
              <w:bottom w:val="single" w:sz="4" w:space="0" w:color="auto"/>
            </w:tcBorders>
            <w:shd w:val="clear" w:color="auto" w:fill="auto"/>
            <w:vAlign w:val="center"/>
          </w:tcPr>
          <w:p w14:paraId="15605CFC" w14:textId="1218FE4D" w:rsidR="00320910" w:rsidRPr="00E84F7D" w:rsidRDefault="00320910" w:rsidP="008E6149">
            <w:pPr>
              <w:spacing w:after="0" w:line="240" w:lineRule="auto"/>
              <w:jc w:val="right"/>
              <w:rPr>
                <w:rFonts w:ascii="Calibri" w:hAnsi="Calibri" w:cs="Calibri"/>
                <w:strike/>
                <w:color w:val="000000"/>
                <w:sz w:val="18"/>
                <w:szCs w:val="18"/>
                <w:lang w:val="it-IT"/>
              </w:rPr>
            </w:pPr>
            <w:r w:rsidRPr="00E84F7D">
              <w:rPr>
                <w:rFonts w:ascii="Calibri" w:hAnsi="Calibri" w:cs="Calibri"/>
                <w:color w:val="000000"/>
                <w:sz w:val="18"/>
                <w:szCs w:val="18"/>
                <w:lang w:val="it-IT"/>
              </w:rPr>
              <w:t>249</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701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002</w:t>
            </w:r>
          </w:p>
        </w:tc>
        <w:tc>
          <w:tcPr>
            <w:tcW w:w="591" w:type="pct"/>
            <w:tcBorders>
              <w:bottom w:val="single" w:sz="4" w:space="0" w:color="auto"/>
            </w:tcBorders>
            <w:shd w:val="clear" w:color="auto" w:fill="auto"/>
            <w:vAlign w:val="center"/>
          </w:tcPr>
          <w:p w14:paraId="2CDBF5C2" w14:textId="1694FBC8" w:rsidR="00320910" w:rsidRPr="00E84F7D" w:rsidRDefault="00320910" w:rsidP="008E6149">
            <w:pPr>
              <w:spacing w:after="0" w:line="240" w:lineRule="auto"/>
              <w:jc w:val="right"/>
              <w:rPr>
                <w:rFonts w:ascii="Calibri" w:hAnsi="Calibri" w:cs="Calibri"/>
                <w:strike/>
                <w:color w:val="000000"/>
                <w:sz w:val="18"/>
                <w:szCs w:val="18"/>
                <w:lang w:val="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02</w:t>
            </w:r>
          </w:p>
        </w:tc>
        <w:tc>
          <w:tcPr>
            <w:tcW w:w="491" w:type="pct"/>
            <w:tcBorders>
              <w:bottom w:val="single" w:sz="4" w:space="0" w:color="auto"/>
            </w:tcBorders>
            <w:vAlign w:val="center"/>
          </w:tcPr>
          <w:p w14:paraId="0D6FCE86" w14:textId="77777777" w:rsidR="00320910" w:rsidRPr="00E84F7D" w:rsidRDefault="00320910" w:rsidP="008E6149">
            <w:pPr>
              <w:spacing w:after="0" w:line="240" w:lineRule="auto"/>
              <w:jc w:val="right"/>
              <w:rPr>
                <w:rFonts w:ascii="Calibri" w:hAnsi="Calibri" w:cs="Calibri"/>
                <w:strike/>
                <w:color w:val="000000"/>
                <w:sz w:val="18"/>
                <w:szCs w:val="18"/>
                <w:lang w:val="it-IT"/>
              </w:rPr>
            </w:pPr>
            <w:r w:rsidRPr="00E84F7D">
              <w:rPr>
                <w:rFonts w:ascii="Calibri" w:hAnsi="Calibri" w:cs="Calibri"/>
                <w:color w:val="000000"/>
                <w:sz w:val="18"/>
                <w:szCs w:val="18"/>
                <w:lang w:val="it-IT"/>
              </w:rPr>
              <w:t>91</w:t>
            </w:r>
          </w:p>
        </w:tc>
        <w:tc>
          <w:tcPr>
            <w:tcW w:w="655" w:type="pct"/>
            <w:tcBorders>
              <w:bottom w:val="single" w:sz="4" w:space="0" w:color="auto"/>
            </w:tcBorders>
            <w:vAlign w:val="center"/>
          </w:tcPr>
          <w:p w14:paraId="1552A341" w14:textId="1DB4238D" w:rsidR="00320910" w:rsidRPr="00E84F7D" w:rsidRDefault="00320910" w:rsidP="008E6149">
            <w:pPr>
              <w:spacing w:after="0" w:line="240" w:lineRule="auto"/>
              <w:jc w:val="right"/>
              <w:rPr>
                <w:rFonts w:ascii="Calibri" w:hAnsi="Calibri" w:cs="Calibri"/>
                <w:strike/>
                <w:color w:val="000000"/>
                <w:sz w:val="18"/>
                <w:szCs w:val="18"/>
                <w:lang w:val="it-IT"/>
              </w:rPr>
            </w:pPr>
            <w:r w:rsidRPr="00E84F7D">
              <w:rPr>
                <w:rFonts w:ascii="Calibri" w:hAnsi="Calibri" w:cs="Calibri"/>
                <w:color w:val="000000"/>
                <w:sz w:val="18"/>
                <w:szCs w:val="18"/>
                <w:lang w:val="it-IT"/>
              </w:rPr>
              <w:t>686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150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823</w:t>
            </w:r>
          </w:p>
        </w:tc>
        <w:tc>
          <w:tcPr>
            <w:tcW w:w="529" w:type="pct"/>
            <w:tcBorders>
              <w:bottom w:val="single" w:sz="4" w:space="0" w:color="auto"/>
            </w:tcBorders>
            <w:vAlign w:val="center"/>
          </w:tcPr>
          <w:p w14:paraId="1E4DAD69" w14:textId="7D51D152" w:rsidR="00320910" w:rsidRPr="00E84F7D" w:rsidRDefault="00320910" w:rsidP="008E6149">
            <w:pPr>
              <w:spacing w:after="0" w:line="240" w:lineRule="auto"/>
              <w:jc w:val="right"/>
              <w:rPr>
                <w:rFonts w:ascii="Calibri" w:hAnsi="Calibri" w:cs="Calibri"/>
                <w:strike/>
                <w:color w:val="000000"/>
                <w:sz w:val="18"/>
                <w:szCs w:val="18"/>
                <w:lang w:val="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001</w:t>
            </w:r>
          </w:p>
        </w:tc>
      </w:tr>
    </w:tbl>
    <w:p w14:paraId="6796E02B" w14:textId="6901CCFA" w:rsidR="00320910" w:rsidRPr="00E84F7D" w:rsidRDefault="00320910" w:rsidP="00320910">
      <w:pPr>
        <w:pStyle w:val="Testonotadichiusura"/>
        <w:spacing w:before="40"/>
        <w:ind w:left="360"/>
        <w:rPr>
          <w:rFonts w:eastAsia="Times New Roman" w:cstheme="minorHAnsi"/>
          <w:bCs/>
          <w:color w:val="000000" w:themeColor="text1"/>
          <w:sz w:val="18"/>
          <w:szCs w:val="18"/>
          <w:lang w:eastAsia="it-IT"/>
        </w:rPr>
      </w:pPr>
      <w:r>
        <w:rPr>
          <w:rFonts w:cstheme="minorHAnsi"/>
          <w:iCs/>
          <w:color w:val="000000" w:themeColor="text1"/>
        </w:rPr>
        <w:t>*</w:t>
      </w:r>
      <w:r w:rsidRPr="00FE5BA1">
        <w:rPr>
          <w:rFonts w:eastAsia="Times New Roman" w:cstheme="minorHAnsi"/>
          <w:bCs/>
          <w:color w:val="000000" w:themeColor="text1"/>
          <w:sz w:val="18"/>
          <w:szCs w:val="18"/>
          <w:lang w:eastAsia="it-IT"/>
        </w:rPr>
        <w:t>Numero di ricoveri</w:t>
      </w:r>
      <w:r>
        <w:rPr>
          <w:rFonts w:eastAsia="Times New Roman" w:cstheme="minorHAnsi"/>
          <w:bCs/>
          <w:color w:val="000000" w:themeColor="text1"/>
          <w:sz w:val="18"/>
          <w:szCs w:val="18"/>
          <w:lang w:eastAsia="it-IT"/>
        </w:rPr>
        <w:t xml:space="preserve"> in terapia intensiva</w:t>
      </w:r>
      <w:r w:rsidRPr="00FE5BA1">
        <w:rPr>
          <w:rFonts w:eastAsia="Times New Roman" w:cstheme="minorHAnsi"/>
          <w:bCs/>
          <w:color w:val="000000" w:themeColor="text1"/>
          <w:sz w:val="18"/>
          <w:szCs w:val="18"/>
          <w:lang w:eastAsia="it-IT"/>
        </w:rPr>
        <w:t>/giorni</w:t>
      </w:r>
      <w:r w:rsidR="002A1FBD">
        <w:rPr>
          <w:rFonts w:eastAsia="Times New Roman" w:cstheme="minorHAnsi"/>
          <w:bCs/>
          <w:color w:val="000000" w:themeColor="text1"/>
          <w:sz w:val="18"/>
          <w:szCs w:val="18"/>
          <w:lang w:eastAsia="it-IT"/>
        </w:rPr>
        <w:t xml:space="preserve"> </w:t>
      </w:r>
      <w:r w:rsidRPr="00FE5BA1">
        <w:rPr>
          <w:rFonts w:eastAsia="Times New Roman" w:cstheme="minorHAnsi"/>
          <w:bCs/>
          <w:color w:val="000000" w:themeColor="text1"/>
          <w:sz w:val="18"/>
          <w:szCs w:val="18"/>
          <w:lang w:eastAsia="it-IT"/>
        </w:rPr>
        <w:t>persona</w:t>
      </w:r>
    </w:p>
    <w:p w14:paraId="2222BA73" w14:textId="77777777" w:rsidR="00320910" w:rsidRPr="00E84F7D" w:rsidRDefault="00320910" w:rsidP="00320910">
      <w:pPr>
        <w:rPr>
          <w:rFonts w:cstheme="minorHAnsi"/>
          <w:iCs/>
          <w:color w:val="000000" w:themeColor="text1"/>
          <w:sz w:val="20"/>
          <w:szCs w:val="20"/>
          <w:lang w:val="it-IT"/>
        </w:rPr>
      </w:pPr>
      <w:r w:rsidRPr="00E84F7D">
        <w:rPr>
          <w:rFonts w:cstheme="minorHAnsi"/>
          <w:iCs/>
          <w:color w:val="000000" w:themeColor="text1"/>
          <w:lang w:val="it-IT"/>
        </w:rPr>
        <w:br w:type="page"/>
      </w:r>
    </w:p>
    <w:p w14:paraId="295785AD" w14:textId="05219340" w:rsidR="00320910" w:rsidRPr="00E84F7D" w:rsidRDefault="00320910" w:rsidP="00320910">
      <w:pPr>
        <w:pStyle w:val="NormaleWeb"/>
        <w:spacing w:after="60"/>
        <w:jc w:val="both"/>
        <w:rPr>
          <w:rFonts w:asciiTheme="minorHAnsi" w:hAnsiTheme="minorHAnsi" w:cstheme="minorHAnsi"/>
          <w:color w:val="000000" w:themeColor="text1"/>
          <w:sz w:val="22"/>
          <w:lang w:eastAsia="da-DK"/>
        </w:rPr>
      </w:pPr>
      <w:r w:rsidRPr="00E84F7D">
        <w:rPr>
          <w:rFonts w:asciiTheme="minorHAnsi" w:hAnsiTheme="minorHAnsi" w:cstheme="minorHAnsi"/>
          <w:b/>
          <w:color w:val="000000" w:themeColor="text1"/>
          <w:sz w:val="22"/>
          <w:szCs w:val="22"/>
          <w:lang w:eastAsia="da-DK"/>
        </w:rPr>
        <w:lastRenderedPageBreak/>
        <w:t xml:space="preserve">Tabella </w:t>
      </w:r>
      <w:r>
        <w:rPr>
          <w:rFonts w:asciiTheme="minorHAnsi" w:hAnsiTheme="minorHAnsi" w:cstheme="minorHAnsi"/>
          <w:b/>
          <w:color w:val="000000" w:themeColor="text1"/>
          <w:sz w:val="22"/>
          <w:szCs w:val="22"/>
          <w:lang w:eastAsia="da-DK"/>
        </w:rPr>
        <w:t>4</w:t>
      </w:r>
      <w:r w:rsidRPr="00E84F7D">
        <w:rPr>
          <w:rFonts w:asciiTheme="minorHAnsi" w:hAnsiTheme="minorHAnsi" w:cstheme="minorHAnsi"/>
          <w:b/>
          <w:color w:val="000000" w:themeColor="text1"/>
          <w:sz w:val="22"/>
          <w:szCs w:val="22"/>
          <w:lang w:eastAsia="da-DK"/>
        </w:rPr>
        <w:t xml:space="preserve">. </w:t>
      </w:r>
      <w:r w:rsidRPr="00E84F7D">
        <w:rPr>
          <w:rFonts w:asciiTheme="minorHAnsi" w:hAnsiTheme="minorHAnsi" w:cstheme="minorHAnsi"/>
          <w:color w:val="000000" w:themeColor="text1"/>
          <w:sz w:val="22"/>
          <w:szCs w:val="22"/>
          <w:lang w:eastAsia="da-DK"/>
        </w:rPr>
        <w:t xml:space="preserve">Incidenza di </w:t>
      </w:r>
      <w:r>
        <w:rPr>
          <w:rFonts w:asciiTheme="minorHAnsi" w:hAnsiTheme="minorHAnsi" w:cstheme="minorHAnsi"/>
          <w:color w:val="000000" w:themeColor="text1"/>
          <w:sz w:val="22"/>
          <w:szCs w:val="22"/>
          <w:lang w:eastAsia="da-DK"/>
        </w:rPr>
        <w:t>decesso</w:t>
      </w:r>
      <w:r w:rsidR="00EA6170" w:rsidRPr="00EA6170">
        <w:rPr>
          <w:rFonts w:asciiTheme="minorHAnsi" w:hAnsiTheme="minorHAnsi" w:cstheme="minorHAnsi"/>
          <w:color w:val="000000" w:themeColor="text1"/>
          <w:sz w:val="22"/>
          <w:szCs w:val="22"/>
          <w:lang w:eastAsia="da-DK"/>
        </w:rPr>
        <w:t xml:space="preserve"> </w:t>
      </w:r>
      <w:r w:rsidR="00EA6170">
        <w:rPr>
          <w:rFonts w:asciiTheme="minorHAnsi" w:hAnsiTheme="minorHAnsi" w:cstheme="minorHAnsi"/>
          <w:color w:val="000000" w:themeColor="text1"/>
          <w:sz w:val="22"/>
          <w:szCs w:val="22"/>
          <w:lang w:eastAsia="da-DK"/>
        </w:rPr>
        <w:t>successivo a diagnosi di COVID-19</w:t>
      </w:r>
      <w:r w:rsidR="00EA6170" w:rsidRPr="00E84F7D">
        <w:rPr>
          <w:rFonts w:asciiTheme="minorHAnsi" w:hAnsiTheme="minorHAnsi" w:cstheme="minorHAnsi"/>
          <w:color w:val="000000" w:themeColor="text1"/>
          <w:sz w:val="22"/>
          <w:szCs w:val="22"/>
          <w:lang w:eastAsia="da-DK"/>
        </w:rPr>
        <w:t xml:space="preserve"> </w:t>
      </w:r>
      <w:r w:rsidRPr="00E84F7D">
        <w:rPr>
          <w:rFonts w:asciiTheme="minorHAnsi" w:hAnsiTheme="minorHAnsi" w:cstheme="minorHAnsi"/>
          <w:color w:val="000000" w:themeColor="text1"/>
          <w:sz w:val="22"/>
          <w:szCs w:val="22"/>
          <w:lang w:eastAsia="da-DK"/>
        </w:rPr>
        <w:t>in persone vaccinate</w:t>
      </w:r>
      <w:r>
        <w:rPr>
          <w:rFonts w:asciiTheme="minorHAnsi" w:hAnsiTheme="minorHAnsi" w:cstheme="minorHAnsi"/>
          <w:color w:val="000000" w:themeColor="text1"/>
          <w:sz w:val="22"/>
          <w:szCs w:val="22"/>
          <w:lang w:eastAsia="da-DK"/>
        </w:rPr>
        <w:t xml:space="preserve"> con i vaccini Cominarty o Spikevax</w:t>
      </w:r>
      <w:r w:rsidRPr="00E84F7D">
        <w:rPr>
          <w:rFonts w:asciiTheme="minorHAnsi" w:hAnsiTheme="minorHAnsi" w:cstheme="minorHAnsi"/>
          <w:color w:val="000000" w:themeColor="text1"/>
          <w:sz w:val="22"/>
          <w:szCs w:val="22"/>
          <w:lang w:eastAsia="da-DK"/>
        </w:rPr>
        <w:t xml:space="preserve"> prima del </w:t>
      </w:r>
      <w:r>
        <w:rPr>
          <w:rFonts w:asciiTheme="minorHAnsi" w:hAnsiTheme="minorHAnsi" w:cstheme="minorHAnsi"/>
          <w:color w:val="000000" w:themeColor="text1"/>
          <w:sz w:val="22"/>
          <w:szCs w:val="22"/>
          <w:lang w:eastAsia="da-DK"/>
        </w:rPr>
        <w:t>18 luglio</w:t>
      </w:r>
      <w:r w:rsidRPr="00E84F7D">
        <w:rPr>
          <w:rFonts w:asciiTheme="minorHAnsi" w:hAnsiTheme="minorHAnsi" w:cstheme="minorHAnsi"/>
          <w:color w:val="000000" w:themeColor="text1"/>
          <w:sz w:val="22"/>
          <w:szCs w:val="22"/>
          <w:lang w:eastAsia="da-DK"/>
        </w:rPr>
        <w:t xml:space="preserve"> 2021</w:t>
      </w:r>
      <w:r>
        <w:rPr>
          <w:rFonts w:asciiTheme="minorHAnsi" w:hAnsiTheme="minorHAnsi" w:cstheme="minorHAnsi"/>
          <w:color w:val="000000" w:themeColor="text1"/>
          <w:sz w:val="22"/>
          <w:szCs w:val="22"/>
          <w:lang w:eastAsia="da-DK"/>
        </w:rPr>
        <w:t xml:space="preserve"> </w:t>
      </w: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4"/>
        <w:gridCol w:w="1363"/>
        <w:gridCol w:w="1814"/>
        <w:gridCol w:w="1582"/>
        <w:gridCol w:w="1363"/>
        <w:gridCol w:w="1814"/>
        <w:gridCol w:w="1467"/>
      </w:tblGrid>
      <w:tr w:rsidR="00320910" w:rsidRPr="00A227B4" w14:paraId="7D779E88" w14:textId="77777777" w:rsidTr="008E6149">
        <w:trPr>
          <w:trHeight w:val="242"/>
        </w:trPr>
        <w:tc>
          <w:tcPr>
            <w:tcW w:w="1641" w:type="pct"/>
            <w:tcBorders>
              <w:bottom w:val="nil"/>
            </w:tcBorders>
            <w:shd w:val="clear" w:color="auto" w:fill="D9D9D9" w:themeFill="background1" w:themeFillShade="D9"/>
            <w:noWrap/>
            <w:vAlign w:val="center"/>
          </w:tcPr>
          <w:p w14:paraId="1DB004A8" w14:textId="77777777" w:rsidR="00320910" w:rsidRPr="00E84F7D" w:rsidRDefault="00320910" w:rsidP="008E6149">
            <w:pPr>
              <w:spacing w:after="0" w:line="240" w:lineRule="auto"/>
              <w:rPr>
                <w:rFonts w:eastAsia="Times New Roman" w:cstheme="minorHAnsi"/>
                <w:b/>
                <w:bCs/>
                <w:color w:val="000000" w:themeColor="text1"/>
                <w:sz w:val="18"/>
                <w:szCs w:val="18"/>
                <w:lang w:val="it-IT" w:eastAsia="it-IT"/>
              </w:rPr>
            </w:pPr>
          </w:p>
        </w:tc>
        <w:tc>
          <w:tcPr>
            <w:tcW w:w="1700" w:type="pct"/>
            <w:gridSpan w:val="3"/>
            <w:tcBorders>
              <w:bottom w:val="single" w:sz="4" w:space="0" w:color="auto"/>
            </w:tcBorders>
            <w:shd w:val="clear" w:color="auto" w:fill="D9D9D9" w:themeFill="background1" w:themeFillShade="D9"/>
            <w:vAlign w:val="center"/>
          </w:tcPr>
          <w:p w14:paraId="04AF6D76"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0-14 giorni dalla somministrazione della 1° dose (riferimento)</w:t>
            </w:r>
          </w:p>
        </w:tc>
        <w:tc>
          <w:tcPr>
            <w:tcW w:w="1659" w:type="pct"/>
            <w:gridSpan w:val="3"/>
            <w:tcBorders>
              <w:bottom w:val="single" w:sz="4" w:space="0" w:color="auto"/>
            </w:tcBorders>
            <w:shd w:val="clear" w:color="auto" w:fill="D9D9D9" w:themeFill="background1" w:themeFillShade="D9"/>
          </w:tcPr>
          <w:p w14:paraId="590705D5"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0+ giorni dalla somministrazione della 2° dose</w:t>
            </w:r>
          </w:p>
        </w:tc>
      </w:tr>
      <w:tr w:rsidR="00320910" w:rsidRPr="00E84F7D" w14:paraId="78D59A5A" w14:textId="77777777" w:rsidTr="008E6149">
        <w:trPr>
          <w:trHeight w:val="242"/>
        </w:trPr>
        <w:tc>
          <w:tcPr>
            <w:tcW w:w="1641" w:type="pct"/>
            <w:tcBorders>
              <w:top w:val="nil"/>
              <w:bottom w:val="single" w:sz="4" w:space="0" w:color="auto"/>
            </w:tcBorders>
            <w:shd w:val="clear" w:color="auto" w:fill="D9D9D9" w:themeFill="background1" w:themeFillShade="D9"/>
            <w:noWrap/>
            <w:vAlign w:val="center"/>
          </w:tcPr>
          <w:p w14:paraId="7109C5A8" w14:textId="77777777" w:rsidR="00320910" w:rsidRPr="00E84F7D" w:rsidRDefault="00320910" w:rsidP="008E6149">
            <w:pPr>
              <w:spacing w:after="0" w:line="240" w:lineRule="auto"/>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Caratteristiche della popolazione in studio</w:t>
            </w:r>
          </w:p>
        </w:tc>
        <w:tc>
          <w:tcPr>
            <w:tcW w:w="487" w:type="pct"/>
            <w:tcBorders>
              <w:bottom w:val="single" w:sz="4" w:space="0" w:color="auto"/>
            </w:tcBorders>
            <w:shd w:val="clear" w:color="auto" w:fill="D9D9D9" w:themeFill="background1" w:themeFillShade="D9"/>
            <w:vAlign w:val="center"/>
          </w:tcPr>
          <w:p w14:paraId="1EF0C0C9" w14:textId="77777777" w:rsidR="00320910" w:rsidRPr="00E84F7D" w:rsidRDefault="00320910" w:rsidP="008E6149">
            <w:pPr>
              <w:spacing w:after="0" w:line="240" w:lineRule="auto"/>
              <w:jc w:val="right"/>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Decessi</w:t>
            </w:r>
          </w:p>
        </w:tc>
        <w:tc>
          <w:tcPr>
            <w:tcW w:w="648" w:type="pct"/>
            <w:tcBorders>
              <w:bottom w:val="single" w:sz="4" w:space="0" w:color="auto"/>
            </w:tcBorders>
            <w:shd w:val="clear" w:color="auto" w:fill="D9D9D9" w:themeFill="background1" w:themeFillShade="D9"/>
            <w:vAlign w:val="center"/>
          </w:tcPr>
          <w:p w14:paraId="15209126" w14:textId="741ABE76" w:rsidR="00320910" w:rsidRPr="00E84F7D" w:rsidRDefault="00320910" w:rsidP="008E6149">
            <w:pPr>
              <w:spacing w:after="0" w:line="240" w:lineRule="auto"/>
              <w:jc w:val="right"/>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Giorni</w:t>
            </w:r>
            <w:r w:rsidR="002A1FBD">
              <w:rPr>
                <w:rFonts w:eastAsia="Times New Roman" w:cstheme="minorHAnsi"/>
                <w:b/>
                <w:bCs/>
                <w:color w:val="000000" w:themeColor="text1"/>
                <w:sz w:val="18"/>
                <w:szCs w:val="18"/>
                <w:lang w:val="it-IT" w:eastAsia="it-IT"/>
              </w:rPr>
              <w:t xml:space="preserve"> </w:t>
            </w:r>
            <w:r w:rsidRPr="00E84F7D">
              <w:rPr>
                <w:rFonts w:eastAsia="Times New Roman" w:cstheme="minorHAnsi"/>
                <w:b/>
                <w:bCs/>
                <w:color w:val="000000" w:themeColor="text1"/>
                <w:sz w:val="18"/>
                <w:szCs w:val="18"/>
                <w:lang w:val="it-IT" w:eastAsia="it-IT"/>
              </w:rPr>
              <w:t>persona</w:t>
            </w:r>
          </w:p>
        </w:tc>
        <w:tc>
          <w:tcPr>
            <w:tcW w:w="565" w:type="pct"/>
            <w:tcBorders>
              <w:bottom w:val="single" w:sz="4" w:space="0" w:color="auto"/>
            </w:tcBorders>
            <w:shd w:val="clear" w:color="auto" w:fill="D9D9D9" w:themeFill="background1" w:themeFillShade="D9"/>
          </w:tcPr>
          <w:p w14:paraId="1D6D2624" w14:textId="77777777" w:rsidR="00320910" w:rsidRPr="00E84F7D" w:rsidRDefault="00320910" w:rsidP="008E6149">
            <w:pPr>
              <w:spacing w:after="0" w:line="240" w:lineRule="auto"/>
              <w:jc w:val="right"/>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Incidenza</w:t>
            </w:r>
          </w:p>
          <w:p w14:paraId="7F5CE38E" w14:textId="77777777" w:rsidR="00320910" w:rsidRPr="00E84F7D" w:rsidRDefault="00320910" w:rsidP="008E6149">
            <w:pPr>
              <w:spacing w:after="0" w:line="240" w:lineRule="auto"/>
              <w:jc w:val="right"/>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per 10.000 giorni persona*</w:t>
            </w:r>
          </w:p>
        </w:tc>
        <w:tc>
          <w:tcPr>
            <w:tcW w:w="487" w:type="pct"/>
            <w:tcBorders>
              <w:bottom w:val="single" w:sz="4" w:space="0" w:color="auto"/>
            </w:tcBorders>
            <w:shd w:val="clear" w:color="auto" w:fill="D9D9D9" w:themeFill="background1" w:themeFillShade="D9"/>
            <w:vAlign w:val="center"/>
          </w:tcPr>
          <w:p w14:paraId="2992AC6F" w14:textId="77777777" w:rsidR="00320910" w:rsidRPr="00E84F7D" w:rsidRDefault="00320910" w:rsidP="008E6149">
            <w:pPr>
              <w:spacing w:after="0" w:line="240" w:lineRule="auto"/>
              <w:jc w:val="right"/>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Decessi</w:t>
            </w:r>
          </w:p>
        </w:tc>
        <w:tc>
          <w:tcPr>
            <w:tcW w:w="648" w:type="pct"/>
            <w:tcBorders>
              <w:bottom w:val="single" w:sz="4" w:space="0" w:color="auto"/>
            </w:tcBorders>
            <w:shd w:val="clear" w:color="auto" w:fill="D9D9D9" w:themeFill="background1" w:themeFillShade="D9"/>
            <w:vAlign w:val="center"/>
          </w:tcPr>
          <w:p w14:paraId="7AEDDCE3" w14:textId="4109A842" w:rsidR="00320910" w:rsidRPr="00E84F7D" w:rsidRDefault="00320910" w:rsidP="008E6149">
            <w:pPr>
              <w:spacing w:after="0" w:line="240" w:lineRule="auto"/>
              <w:jc w:val="right"/>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Giorni</w:t>
            </w:r>
            <w:r w:rsidR="002A1FBD">
              <w:rPr>
                <w:rFonts w:eastAsia="Times New Roman" w:cstheme="minorHAnsi"/>
                <w:b/>
                <w:bCs/>
                <w:color w:val="000000" w:themeColor="text1"/>
                <w:sz w:val="18"/>
                <w:szCs w:val="18"/>
                <w:lang w:val="it-IT" w:eastAsia="it-IT"/>
              </w:rPr>
              <w:t xml:space="preserve"> </w:t>
            </w:r>
            <w:r w:rsidRPr="00E84F7D">
              <w:rPr>
                <w:rFonts w:eastAsia="Times New Roman" w:cstheme="minorHAnsi"/>
                <w:b/>
                <w:bCs/>
                <w:color w:val="000000" w:themeColor="text1"/>
                <w:sz w:val="18"/>
                <w:szCs w:val="18"/>
                <w:lang w:val="it-IT" w:eastAsia="it-IT"/>
              </w:rPr>
              <w:t>persona</w:t>
            </w:r>
          </w:p>
        </w:tc>
        <w:tc>
          <w:tcPr>
            <w:tcW w:w="524" w:type="pct"/>
            <w:tcBorders>
              <w:bottom w:val="single" w:sz="4" w:space="0" w:color="auto"/>
            </w:tcBorders>
            <w:shd w:val="clear" w:color="auto" w:fill="D9D9D9" w:themeFill="background1" w:themeFillShade="D9"/>
          </w:tcPr>
          <w:p w14:paraId="123FE402" w14:textId="77777777" w:rsidR="00320910" w:rsidRPr="00E84F7D" w:rsidRDefault="00320910" w:rsidP="008E6149">
            <w:pPr>
              <w:spacing w:after="0" w:line="240" w:lineRule="auto"/>
              <w:jc w:val="right"/>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Incidenza</w:t>
            </w:r>
          </w:p>
          <w:p w14:paraId="381AD7CD" w14:textId="77777777" w:rsidR="00320910" w:rsidRPr="00E84F7D" w:rsidRDefault="00320910" w:rsidP="008E6149">
            <w:pPr>
              <w:spacing w:after="0" w:line="240" w:lineRule="auto"/>
              <w:jc w:val="right"/>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per 10.000 giorni persona*</w:t>
            </w:r>
          </w:p>
        </w:tc>
      </w:tr>
      <w:tr w:rsidR="00320910" w:rsidRPr="00E84F7D" w14:paraId="0050A323" w14:textId="77777777" w:rsidTr="008E6149">
        <w:trPr>
          <w:trHeight w:val="242"/>
        </w:trPr>
        <w:tc>
          <w:tcPr>
            <w:tcW w:w="1641" w:type="pct"/>
            <w:tcBorders>
              <w:bottom w:val="single" w:sz="4" w:space="0" w:color="auto"/>
            </w:tcBorders>
            <w:shd w:val="clear" w:color="auto" w:fill="auto"/>
            <w:noWrap/>
            <w:vAlign w:val="center"/>
          </w:tcPr>
          <w:p w14:paraId="358F6874" w14:textId="77777777" w:rsidR="00320910" w:rsidRPr="00E84F7D" w:rsidRDefault="00320910" w:rsidP="008E6149">
            <w:pPr>
              <w:spacing w:after="0" w:line="240" w:lineRule="auto"/>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Totale</w:t>
            </w:r>
          </w:p>
        </w:tc>
        <w:tc>
          <w:tcPr>
            <w:tcW w:w="487" w:type="pct"/>
            <w:tcBorders>
              <w:bottom w:val="single" w:sz="4" w:space="0" w:color="auto"/>
            </w:tcBorders>
            <w:shd w:val="clear" w:color="auto" w:fill="auto"/>
            <w:vAlign w:val="center"/>
          </w:tcPr>
          <w:p w14:paraId="59A70A6C" w14:textId="6A6381E1"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979</w:t>
            </w:r>
          </w:p>
        </w:tc>
        <w:tc>
          <w:tcPr>
            <w:tcW w:w="648" w:type="pct"/>
            <w:tcBorders>
              <w:bottom w:val="single" w:sz="4" w:space="0" w:color="auto"/>
            </w:tcBorders>
            <w:shd w:val="clear" w:color="auto" w:fill="auto"/>
            <w:vAlign w:val="center"/>
          </w:tcPr>
          <w:p w14:paraId="7847BABB" w14:textId="05BA8088"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366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747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458</w:t>
            </w:r>
          </w:p>
        </w:tc>
        <w:tc>
          <w:tcPr>
            <w:tcW w:w="565" w:type="pct"/>
            <w:tcBorders>
              <w:bottom w:val="single" w:sz="4" w:space="0" w:color="auto"/>
            </w:tcBorders>
            <w:shd w:val="clear" w:color="auto" w:fill="auto"/>
            <w:vAlign w:val="center"/>
          </w:tcPr>
          <w:p w14:paraId="72D38E8B" w14:textId="1663D6BC"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05</w:t>
            </w:r>
          </w:p>
        </w:tc>
        <w:tc>
          <w:tcPr>
            <w:tcW w:w="487" w:type="pct"/>
            <w:tcBorders>
              <w:bottom w:val="single" w:sz="4" w:space="0" w:color="auto"/>
            </w:tcBorders>
            <w:vAlign w:val="center"/>
          </w:tcPr>
          <w:p w14:paraId="39105904"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786</w:t>
            </w:r>
          </w:p>
        </w:tc>
        <w:tc>
          <w:tcPr>
            <w:tcW w:w="648" w:type="pct"/>
            <w:tcBorders>
              <w:bottom w:val="single" w:sz="4" w:space="0" w:color="auto"/>
            </w:tcBorders>
            <w:vAlign w:val="center"/>
          </w:tcPr>
          <w:p w14:paraId="4333C54C" w14:textId="206114B6"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351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973</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749</w:t>
            </w:r>
          </w:p>
        </w:tc>
        <w:tc>
          <w:tcPr>
            <w:tcW w:w="524" w:type="pct"/>
            <w:tcBorders>
              <w:bottom w:val="single" w:sz="4" w:space="0" w:color="auto"/>
            </w:tcBorders>
            <w:vAlign w:val="center"/>
          </w:tcPr>
          <w:p w14:paraId="3424BC18" w14:textId="4AEB4C29"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01</w:t>
            </w:r>
          </w:p>
        </w:tc>
      </w:tr>
      <w:tr w:rsidR="00320910" w:rsidRPr="00E84F7D" w14:paraId="496E378F" w14:textId="77777777" w:rsidTr="008E6149">
        <w:trPr>
          <w:trHeight w:val="242"/>
        </w:trPr>
        <w:tc>
          <w:tcPr>
            <w:tcW w:w="1641" w:type="pct"/>
            <w:shd w:val="clear" w:color="auto" w:fill="auto"/>
            <w:noWrap/>
            <w:vAlign w:val="center"/>
          </w:tcPr>
          <w:p w14:paraId="308F34F5" w14:textId="77777777" w:rsidR="00320910" w:rsidRPr="00E84F7D" w:rsidRDefault="00320910" w:rsidP="008E6149">
            <w:pPr>
              <w:spacing w:after="0" w:line="240" w:lineRule="auto"/>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Classe di età (anni)</w:t>
            </w:r>
          </w:p>
        </w:tc>
        <w:tc>
          <w:tcPr>
            <w:tcW w:w="487" w:type="pct"/>
            <w:shd w:val="clear" w:color="auto" w:fill="auto"/>
            <w:vAlign w:val="center"/>
          </w:tcPr>
          <w:p w14:paraId="00EF5A2D"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b/>
                <w:bCs/>
                <w:color w:val="000000"/>
                <w:sz w:val="18"/>
                <w:szCs w:val="18"/>
                <w:lang w:val="it-IT"/>
              </w:rPr>
              <w:t> </w:t>
            </w:r>
          </w:p>
        </w:tc>
        <w:tc>
          <w:tcPr>
            <w:tcW w:w="648" w:type="pct"/>
            <w:shd w:val="clear" w:color="auto" w:fill="auto"/>
            <w:vAlign w:val="center"/>
          </w:tcPr>
          <w:p w14:paraId="79631090"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b/>
                <w:bCs/>
                <w:color w:val="000000"/>
                <w:sz w:val="18"/>
                <w:szCs w:val="18"/>
                <w:lang w:val="it-IT"/>
              </w:rPr>
              <w:t> </w:t>
            </w:r>
          </w:p>
        </w:tc>
        <w:tc>
          <w:tcPr>
            <w:tcW w:w="565" w:type="pct"/>
            <w:shd w:val="clear" w:color="auto" w:fill="auto"/>
            <w:vAlign w:val="center"/>
          </w:tcPr>
          <w:p w14:paraId="687F688F" w14:textId="77777777" w:rsidR="00320910" w:rsidRPr="00E84F7D" w:rsidRDefault="00320910" w:rsidP="008E6149">
            <w:pPr>
              <w:spacing w:after="0" w:line="240" w:lineRule="auto"/>
              <w:ind w:right="637"/>
              <w:jc w:val="center"/>
              <w:rPr>
                <w:rFonts w:eastAsia="Times New Roman" w:cstheme="minorHAnsi"/>
                <w:b/>
                <w:bCs/>
                <w:color w:val="000000" w:themeColor="text1"/>
                <w:sz w:val="18"/>
                <w:szCs w:val="18"/>
                <w:lang w:val="it-IT" w:eastAsia="it-IT"/>
              </w:rPr>
            </w:pPr>
            <w:r w:rsidRPr="00E84F7D">
              <w:rPr>
                <w:rFonts w:ascii="Calibri" w:hAnsi="Calibri" w:cs="Calibri"/>
                <w:b/>
                <w:bCs/>
                <w:color w:val="000000"/>
                <w:sz w:val="18"/>
                <w:szCs w:val="18"/>
                <w:lang w:val="it-IT"/>
              </w:rPr>
              <w:t> </w:t>
            </w:r>
          </w:p>
        </w:tc>
        <w:tc>
          <w:tcPr>
            <w:tcW w:w="487" w:type="pct"/>
            <w:vAlign w:val="center"/>
          </w:tcPr>
          <w:p w14:paraId="7ADB3241" w14:textId="77777777" w:rsidR="00320910" w:rsidRPr="00E84F7D" w:rsidRDefault="00320910" w:rsidP="008E6149">
            <w:pPr>
              <w:spacing w:after="0" w:line="240" w:lineRule="auto"/>
              <w:ind w:right="606"/>
              <w:jc w:val="center"/>
              <w:rPr>
                <w:rFonts w:eastAsia="Times New Roman" w:cstheme="minorHAnsi"/>
                <w:b/>
                <w:bCs/>
                <w:color w:val="000000" w:themeColor="text1"/>
                <w:sz w:val="18"/>
                <w:szCs w:val="18"/>
                <w:lang w:val="it-IT" w:eastAsia="it-IT"/>
              </w:rPr>
            </w:pPr>
            <w:r w:rsidRPr="00E84F7D">
              <w:rPr>
                <w:rFonts w:ascii="Calibri" w:hAnsi="Calibri" w:cs="Calibri"/>
                <w:b/>
                <w:bCs/>
                <w:color w:val="000000"/>
                <w:sz w:val="18"/>
                <w:szCs w:val="18"/>
                <w:lang w:val="it-IT"/>
              </w:rPr>
              <w:t> </w:t>
            </w:r>
          </w:p>
        </w:tc>
        <w:tc>
          <w:tcPr>
            <w:tcW w:w="648" w:type="pct"/>
            <w:vAlign w:val="center"/>
          </w:tcPr>
          <w:p w14:paraId="4623CE91" w14:textId="77777777" w:rsidR="00320910" w:rsidRPr="00E84F7D" w:rsidRDefault="00320910" w:rsidP="008E6149">
            <w:pPr>
              <w:spacing w:after="0" w:line="240" w:lineRule="auto"/>
              <w:ind w:right="606"/>
              <w:jc w:val="center"/>
              <w:rPr>
                <w:rFonts w:eastAsia="Times New Roman" w:cstheme="minorHAnsi"/>
                <w:b/>
                <w:bCs/>
                <w:color w:val="000000" w:themeColor="text1"/>
                <w:sz w:val="18"/>
                <w:szCs w:val="18"/>
                <w:lang w:val="it-IT" w:eastAsia="it-IT"/>
              </w:rPr>
            </w:pPr>
            <w:r w:rsidRPr="00E84F7D">
              <w:rPr>
                <w:rFonts w:ascii="Calibri" w:hAnsi="Calibri" w:cs="Calibri"/>
                <w:b/>
                <w:bCs/>
                <w:color w:val="000000"/>
                <w:sz w:val="18"/>
                <w:szCs w:val="18"/>
                <w:lang w:val="it-IT"/>
              </w:rPr>
              <w:t> </w:t>
            </w:r>
          </w:p>
        </w:tc>
        <w:tc>
          <w:tcPr>
            <w:tcW w:w="524" w:type="pct"/>
            <w:vAlign w:val="center"/>
          </w:tcPr>
          <w:p w14:paraId="66B85A54" w14:textId="77777777" w:rsidR="00320910" w:rsidRPr="00E84F7D" w:rsidRDefault="00320910" w:rsidP="008E6149">
            <w:pPr>
              <w:spacing w:after="0" w:line="240" w:lineRule="auto"/>
              <w:ind w:right="606"/>
              <w:jc w:val="center"/>
              <w:rPr>
                <w:rFonts w:eastAsia="Times New Roman" w:cstheme="minorHAnsi"/>
                <w:b/>
                <w:bCs/>
                <w:color w:val="000000" w:themeColor="text1"/>
                <w:sz w:val="18"/>
                <w:szCs w:val="18"/>
                <w:lang w:val="it-IT" w:eastAsia="it-IT"/>
              </w:rPr>
            </w:pPr>
            <w:r w:rsidRPr="00E84F7D">
              <w:rPr>
                <w:rFonts w:ascii="Calibri" w:hAnsi="Calibri" w:cs="Calibri"/>
                <w:color w:val="000000"/>
                <w:sz w:val="18"/>
                <w:szCs w:val="18"/>
                <w:lang w:val="it-IT"/>
              </w:rPr>
              <w:t> </w:t>
            </w:r>
          </w:p>
        </w:tc>
      </w:tr>
      <w:tr w:rsidR="00320910" w:rsidRPr="00E84F7D" w14:paraId="6EA03070" w14:textId="77777777" w:rsidTr="008E6149">
        <w:trPr>
          <w:trHeight w:val="242"/>
        </w:trPr>
        <w:tc>
          <w:tcPr>
            <w:tcW w:w="1641" w:type="pct"/>
            <w:shd w:val="clear" w:color="auto" w:fill="auto"/>
            <w:noWrap/>
            <w:vAlign w:val="center"/>
          </w:tcPr>
          <w:p w14:paraId="24564A22" w14:textId="77777777" w:rsidR="00320910" w:rsidRPr="00E84F7D" w:rsidRDefault="00320910" w:rsidP="008E6149">
            <w:pPr>
              <w:spacing w:after="0" w:line="240" w:lineRule="auto"/>
              <w:ind w:left="209"/>
              <w:rPr>
                <w:rFonts w:eastAsia="Times New Roman" w:cstheme="minorHAnsi"/>
                <w:b/>
                <w:bCs/>
                <w:color w:val="000000" w:themeColor="text1"/>
                <w:sz w:val="18"/>
                <w:szCs w:val="18"/>
                <w:lang w:val="it-IT" w:eastAsia="it-IT"/>
              </w:rPr>
            </w:pPr>
            <w:r w:rsidRPr="00E84F7D">
              <w:rPr>
                <w:rFonts w:eastAsia="Times New Roman" w:cstheme="minorHAnsi"/>
                <w:color w:val="000000" w:themeColor="text1"/>
                <w:sz w:val="18"/>
                <w:szCs w:val="18"/>
                <w:lang w:val="it-IT" w:eastAsia="it-IT"/>
              </w:rPr>
              <w:t xml:space="preserve">&lt;40 </w:t>
            </w:r>
          </w:p>
        </w:tc>
        <w:tc>
          <w:tcPr>
            <w:tcW w:w="487" w:type="pct"/>
            <w:shd w:val="clear" w:color="auto" w:fill="auto"/>
            <w:vAlign w:val="center"/>
          </w:tcPr>
          <w:p w14:paraId="1D66C462"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w:t>
            </w:r>
          </w:p>
        </w:tc>
        <w:tc>
          <w:tcPr>
            <w:tcW w:w="648" w:type="pct"/>
            <w:shd w:val="clear" w:color="auto" w:fill="auto"/>
            <w:vAlign w:val="center"/>
          </w:tcPr>
          <w:p w14:paraId="0A88A8C4" w14:textId="1C1139B6"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87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579</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819</w:t>
            </w:r>
          </w:p>
        </w:tc>
        <w:tc>
          <w:tcPr>
            <w:tcW w:w="565" w:type="pct"/>
            <w:shd w:val="clear" w:color="auto" w:fill="auto"/>
            <w:vAlign w:val="center"/>
          </w:tcPr>
          <w:p w14:paraId="37BF0D6B" w14:textId="6CEABA20"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0001</w:t>
            </w:r>
          </w:p>
        </w:tc>
        <w:tc>
          <w:tcPr>
            <w:tcW w:w="487" w:type="pct"/>
            <w:vAlign w:val="center"/>
          </w:tcPr>
          <w:p w14:paraId="37728DC6"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w:t>
            </w:r>
          </w:p>
        </w:tc>
        <w:tc>
          <w:tcPr>
            <w:tcW w:w="648" w:type="pct"/>
            <w:vAlign w:val="center"/>
          </w:tcPr>
          <w:p w14:paraId="40B5BED8" w14:textId="48BD0222"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164</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512</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648</w:t>
            </w:r>
          </w:p>
        </w:tc>
        <w:tc>
          <w:tcPr>
            <w:tcW w:w="524" w:type="pct"/>
            <w:vAlign w:val="center"/>
          </w:tcPr>
          <w:p w14:paraId="17673D1D" w14:textId="4CE5450E"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0001</w:t>
            </w:r>
          </w:p>
        </w:tc>
      </w:tr>
      <w:tr w:rsidR="00320910" w:rsidRPr="00E84F7D" w14:paraId="258681AC" w14:textId="77777777" w:rsidTr="008E6149">
        <w:trPr>
          <w:trHeight w:val="242"/>
        </w:trPr>
        <w:tc>
          <w:tcPr>
            <w:tcW w:w="1641" w:type="pct"/>
            <w:shd w:val="clear" w:color="auto" w:fill="auto"/>
            <w:noWrap/>
            <w:vAlign w:val="center"/>
          </w:tcPr>
          <w:p w14:paraId="126F2DA7" w14:textId="77777777" w:rsidR="00320910" w:rsidRPr="00E84F7D" w:rsidRDefault="00320910" w:rsidP="008E6149">
            <w:pPr>
              <w:spacing w:after="0" w:line="240" w:lineRule="auto"/>
              <w:ind w:left="209"/>
              <w:rPr>
                <w:rFonts w:eastAsia="Times New Roman" w:cstheme="minorHAnsi"/>
                <w:b/>
                <w:bCs/>
                <w:color w:val="000000" w:themeColor="text1"/>
                <w:sz w:val="18"/>
                <w:szCs w:val="18"/>
                <w:lang w:val="it-IT" w:eastAsia="it-IT"/>
              </w:rPr>
            </w:pPr>
            <w:r w:rsidRPr="00E84F7D">
              <w:rPr>
                <w:rFonts w:eastAsia="Times New Roman" w:cstheme="minorHAnsi"/>
                <w:color w:val="000000" w:themeColor="text1"/>
                <w:sz w:val="18"/>
                <w:szCs w:val="18"/>
                <w:lang w:val="it-IT" w:eastAsia="it-IT"/>
              </w:rPr>
              <w:t>40-59</w:t>
            </w:r>
          </w:p>
        </w:tc>
        <w:tc>
          <w:tcPr>
            <w:tcW w:w="487" w:type="pct"/>
            <w:shd w:val="clear" w:color="auto" w:fill="auto"/>
            <w:vAlign w:val="center"/>
          </w:tcPr>
          <w:p w14:paraId="4E3727F9"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24</w:t>
            </w:r>
          </w:p>
        </w:tc>
        <w:tc>
          <w:tcPr>
            <w:tcW w:w="648" w:type="pct"/>
            <w:shd w:val="clear" w:color="auto" w:fill="auto"/>
            <w:vAlign w:val="center"/>
          </w:tcPr>
          <w:p w14:paraId="35056029" w14:textId="1924F0CE"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136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908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884</w:t>
            </w:r>
          </w:p>
        </w:tc>
        <w:tc>
          <w:tcPr>
            <w:tcW w:w="565" w:type="pct"/>
            <w:shd w:val="clear" w:color="auto" w:fill="auto"/>
            <w:vAlign w:val="center"/>
          </w:tcPr>
          <w:p w14:paraId="2A46E388" w14:textId="49D2C049"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002</w:t>
            </w:r>
          </w:p>
        </w:tc>
        <w:tc>
          <w:tcPr>
            <w:tcW w:w="487" w:type="pct"/>
            <w:vAlign w:val="center"/>
          </w:tcPr>
          <w:p w14:paraId="7C939BB0"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19</w:t>
            </w:r>
          </w:p>
        </w:tc>
        <w:tc>
          <w:tcPr>
            <w:tcW w:w="648" w:type="pct"/>
            <w:vAlign w:val="center"/>
          </w:tcPr>
          <w:p w14:paraId="45C8B37C" w14:textId="2C29EE5A"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376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776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839</w:t>
            </w:r>
          </w:p>
        </w:tc>
        <w:tc>
          <w:tcPr>
            <w:tcW w:w="524" w:type="pct"/>
            <w:vAlign w:val="center"/>
          </w:tcPr>
          <w:p w14:paraId="3F9A8253" w14:textId="6FBDB3AD"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001</w:t>
            </w:r>
          </w:p>
        </w:tc>
      </w:tr>
      <w:tr w:rsidR="00320910" w:rsidRPr="00E84F7D" w14:paraId="3910436F" w14:textId="77777777" w:rsidTr="008E6149">
        <w:trPr>
          <w:trHeight w:val="242"/>
        </w:trPr>
        <w:tc>
          <w:tcPr>
            <w:tcW w:w="1641" w:type="pct"/>
            <w:shd w:val="clear" w:color="auto" w:fill="auto"/>
            <w:noWrap/>
            <w:vAlign w:val="center"/>
          </w:tcPr>
          <w:p w14:paraId="34295CF5" w14:textId="77777777" w:rsidR="00320910" w:rsidRPr="00E84F7D" w:rsidRDefault="00320910" w:rsidP="008E6149">
            <w:pPr>
              <w:spacing w:after="0" w:line="240" w:lineRule="auto"/>
              <w:ind w:left="209"/>
              <w:rPr>
                <w:rFonts w:eastAsia="Times New Roman" w:cstheme="minorHAnsi"/>
                <w:b/>
                <w:bCs/>
                <w:color w:val="000000" w:themeColor="text1"/>
                <w:sz w:val="18"/>
                <w:szCs w:val="18"/>
                <w:lang w:val="it-IT" w:eastAsia="it-IT"/>
              </w:rPr>
            </w:pPr>
            <w:r w:rsidRPr="00E84F7D">
              <w:rPr>
                <w:rFonts w:eastAsia="Times New Roman" w:cstheme="minorHAnsi"/>
                <w:color w:val="000000" w:themeColor="text1"/>
                <w:sz w:val="18"/>
                <w:szCs w:val="18"/>
                <w:lang w:val="it-IT" w:eastAsia="it-IT"/>
              </w:rPr>
              <w:t>60-79</w:t>
            </w:r>
          </w:p>
        </w:tc>
        <w:tc>
          <w:tcPr>
            <w:tcW w:w="487" w:type="pct"/>
            <w:shd w:val="clear" w:color="auto" w:fill="auto"/>
            <w:vAlign w:val="center"/>
          </w:tcPr>
          <w:p w14:paraId="31DFE2B2"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336</w:t>
            </w:r>
          </w:p>
        </w:tc>
        <w:tc>
          <w:tcPr>
            <w:tcW w:w="648" w:type="pct"/>
            <w:shd w:val="clear" w:color="auto" w:fill="auto"/>
            <w:vAlign w:val="center"/>
          </w:tcPr>
          <w:p w14:paraId="75088946" w14:textId="4396FB4E"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87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415</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743</w:t>
            </w:r>
          </w:p>
        </w:tc>
        <w:tc>
          <w:tcPr>
            <w:tcW w:w="565" w:type="pct"/>
            <w:shd w:val="clear" w:color="auto" w:fill="auto"/>
            <w:vAlign w:val="center"/>
          </w:tcPr>
          <w:p w14:paraId="63872EA0" w14:textId="411C314E"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04</w:t>
            </w:r>
          </w:p>
        </w:tc>
        <w:tc>
          <w:tcPr>
            <w:tcW w:w="487" w:type="pct"/>
            <w:vAlign w:val="center"/>
          </w:tcPr>
          <w:p w14:paraId="5414950D"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78</w:t>
            </w:r>
          </w:p>
        </w:tc>
        <w:tc>
          <w:tcPr>
            <w:tcW w:w="648" w:type="pct"/>
            <w:vAlign w:val="center"/>
          </w:tcPr>
          <w:p w14:paraId="34A70743" w14:textId="4E03FCAC"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405</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130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755</w:t>
            </w:r>
          </w:p>
        </w:tc>
        <w:tc>
          <w:tcPr>
            <w:tcW w:w="524" w:type="pct"/>
            <w:vAlign w:val="center"/>
          </w:tcPr>
          <w:p w14:paraId="06CE72A1" w14:textId="1FC78CE0"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002</w:t>
            </w:r>
          </w:p>
        </w:tc>
      </w:tr>
      <w:tr w:rsidR="00320910" w:rsidRPr="00E84F7D" w14:paraId="6BE6AC01" w14:textId="77777777" w:rsidTr="008E6149">
        <w:trPr>
          <w:trHeight w:val="242"/>
        </w:trPr>
        <w:tc>
          <w:tcPr>
            <w:tcW w:w="1641" w:type="pct"/>
            <w:shd w:val="clear" w:color="auto" w:fill="auto"/>
            <w:noWrap/>
            <w:vAlign w:val="center"/>
          </w:tcPr>
          <w:p w14:paraId="3FF7D4F6" w14:textId="77777777" w:rsidR="00320910" w:rsidRPr="00E84F7D" w:rsidRDefault="00320910" w:rsidP="008E6149">
            <w:pPr>
              <w:spacing w:after="0" w:line="240" w:lineRule="auto"/>
              <w:ind w:left="209"/>
              <w:rPr>
                <w:rFonts w:eastAsia="Times New Roman" w:cstheme="minorHAnsi"/>
                <w:b/>
                <w:bCs/>
                <w:color w:val="000000" w:themeColor="text1"/>
                <w:sz w:val="18"/>
                <w:szCs w:val="18"/>
                <w:lang w:val="it-IT" w:eastAsia="it-IT"/>
              </w:rPr>
            </w:pPr>
            <w:r w:rsidRPr="00E84F7D">
              <w:rPr>
                <w:rFonts w:eastAsia="Times New Roman" w:cstheme="minorHAnsi"/>
                <w:color w:val="000000" w:themeColor="text1"/>
                <w:sz w:val="18"/>
                <w:szCs w:val="18"/>
                <w:lang w:val="it-IT" w:eastAsia="it-IT"/>
              </w:rPr>
              <w:t>≥80</w:t>
            </w:r>
          </w:p>
        </w:tc>
        <w:tc>
          <w:tcPr>
            <w:tcW w:w="487" w:type="pct"/>
            <w:shd w:val="clear" w:color="auto" w:fill="auto"/>
            <w:vAlign w:val="center"/>
          </w:tcPr>
          <w:p w14:paraId="21B1C0D4" w14:textId="1ABF967F"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618</w:t>
            </w:r>
          </w:p>
        </w:tc>
        <w:tc>
          <w:tcPr>
            <w:tcW w:w="648" w:type="pct"/>
            <w:shd w:val="clear" w:color="auto" w:fill="auto"/>
            <w:vAlign w:val="center"/>
          </w:tcPr>
          <w:p w14:paraId="3B3F483A" w14:textId="70D80D66"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54</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843</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013</w:t>
            </w:r>
          </w:p>
        </w:tc>
        <w:tc>
          <w:tcPr>
            <w:tcW w:w="565" w:type="pct"/>
            <w:shd w:val="clear" w:color="auto" w:fill="auto"/>
            <w:vAlign w:val="center"/>
          </w:tcPr>
          <w:p w14:paraId="05C2B04A" w14:textId="6C6EF73E"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30</w:t>
            </w:r>
          </w:p>
        </w:tc>
        <w:tc>
          <w:tcPr>
            <w:tcW w:w="487" w:type="pct"/>
            <w:vAlign w:val="center"/>
          </w:tcPr>
          <w:p w14:paraId="18F1CAD8"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687</w:t>
            </w:r>
          </w:p>
        </w:tc>
        <w:tc>
          <w:tcPr>
            <w:tcW w:w="648" w:type="pct"/>
            <w:vAlign w:val="center"/>
          </w:tcPr>
          <w:p w14:paraId="0EFF90A5" w14:textId="6700A7CF"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405</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553</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507</w:t>
            </w:r>
          </w:p>
        </w:tc>
        <w:tc>
          <w:tcPr>
            <w:tcW w:w="524" w:type="pct"/>
            <w:vAlign w:val="center"/>
          </w:tcPr>
          <w:p w14:paraId="7D5CCB0D" w14:textId="4BA3FEC1"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02</w:t>
            </w:r>
          </w:p>
        </w:tc>
      </w:tr>
      <w:tr w:rsidR="00320910" w:rsidRPr="00E84F7D" w14:paraId="7512588B" w14:textId="77777777" w:rsidTr="008E6149">
        <w:trPr>
          <w:trHeight w:val="242"/>
        </w:trPr>
        <w:tc>
          <w:tcPr>
            <w:tcW w:w="1641" w:type="pct"/>
            <w:shd w:val="clear" w:color="auto" w:fill="auto"/>
            <w:noWrap/>
            <w:vAlign w:val="center"/>
          </w:tcPr>
          <w:p w14:paraId="0B618CFD" w14:textId="77777777" w:rsidR="00320910" w:rsidRPr="00E84F7D" w:rsidRDefault="00320910" w:rsidP="008E6149">
            <w:pPr>
              <w:spacing w:after="0" w:line="240" w:lineRule="auto"/>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Genere</w:t>
            </w:r>
          </w:p>
        </w:tc>
        <w:tc>
          <w:tcPr>
            <w:tcW w:w="487" w:type="pct"/>
            <w:shd w:val="clear" w:color="auto" w:fill="auto"/>
            <w:vAlign w:val="center"/>
          </w:tcPr>
          <w:p w14:paraId="386A8BAB"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 </w:t>
            </w:r>
          </w:p>
        </w:tc>
        <w:tc>
          <w:tcPr>
            <w:tcW w:w="648" w:type="pct"/>
            <w:shd w:val="clear" w:color="auto" w:fill="auto"/>
            <w:vAlign w:val="center"/>
          </w:tcPr>
          <w:p w14:paraId="6A7CFD14"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 </w:t>
            </w:r>
          </w:p>
        </w:tc>
        <w:tc>
          <w:tcPr>
            <w:tcW w:w="565" w:type="pct"/>
            <w:shd w:val="clear" w:color="auto" w:fill="auto"/>
            <w:vAlign w:val="center"/>
          </w:tcPr>
          <w:p w14:paraId="5805DFED"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 </w:t>
            </w:r>
          </w:p>
        </w:tc>
        <w:tc>
          <w:tcPr>
            <w:tcW w:w="487" w:type="pct"/>
            <w:vAlign w:val="center"/>
          </w:tcPr>
          <w:p w14:paraId="746C6402"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 </w:t>
            </w:r>
          </w:p>
        </w:tc>
        <w:tc>
          <w:tcPr>
            <w:tcW w:w="648" w:type="pct"/>
            <w:vAlign w:val="center"/>
          </w:tcPr>
          <w:p w14:paraId="7D45838E"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 </w:t>
            </w:r>
          </w:p>
        </w:tc>
        <w:tc>
          <w:tcPr>
            <w:tcW w:w="524" w:type="pct"/>
            <w:vAlign w:val="center"/>
          </w:tcPr>
          <w:p w14:paraId="6ED4CEE7"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 </w:t>
            </w:r>
          </w:p>
        </w:tc>
      </w:tr>
      <w:tr w:rsidR="00320910" w:rsidRPr="00E84F7D" w14:paraId="01010B67" w14:textId="77777777" w:rsidTr="008E6149">
        <w:trPr>
          <w:trHeight w:val="242"/>
        </w:trPr>
        <w:tc>
          <w:tcPr>
            <w:tcW w:w="1641" w:type="pct"/>
            <w:shd w:val="clear" w:color="auto" w:fill="auto"/>
            <w:noWrap/>
            <w:vAlign w:val="center"/>
          </w:tcPr>
          <w:p w14:paraId="5BDBCA99"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Donne</w:t>
            </w:r>
          </w:p>
        </w:tc>
        <w:tc>
          <w:tcPr>
            <w:tcW w:w="487" w:type="pct"/>
            <w:shd w:val="clear" w:color="auto" w:fill="auto"/>
            <w:vAlign w:val="center"/>
          </w:tcPr>
          <w:p w14:paraId="19F84466"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905</w:t>
            </w:r>
          </w:p>
        </w:tc>
        <w:tc>
          <w:tcPr>
            <w:tcW w:w="648" w:type="pct"/>
            <w:shd w:val="clear" w:color="auto" w:fill="auto"/>
            <w:vAlign w:val="center"/>
          </w:tcPr>
          <w:p w14:paraId="6464B759" w14:textId="7EDBB074"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193</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559</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247</w:t>
            </w:r>
          </w:p>
        </w:tc>
        <w:tc>
          <w:tcPr>
            <w:tcW w:w="565" w:type="pct"/>
            <w:shd w:val="clear" w:color="auto" w:fill="auto"/>
            <w:vAlign w:val="center"/>
          </w:tcPr>
          <w:p w14:paraId="06DAB750" w14:textId="3E1769BB"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05</w:t>
            </w:r>
          </w:p>
        </w:tc>
        <w:tc>
          <w:tcPr>
            <w:tcW w:w="487" w:type="pct"/>
            <w:vAlign w:val="center"/>
          </w:tcPr>
          <w:p w14:paraId="0FB733B5"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363</w:t>
            </w:r>
          </w:p>
        </w:tc>
        <w:tc>
          <w:tcPr>
            <w:tcW w:w="648" w:type="pct"/>
            <w:vAlign w:val="center"/>
          </w:tcPr>
          <w:p w14:paraId="024770B6" w14:textId="60E259B1"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759</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985</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640</w:t>
            </w:r>
          </w:p>
        </w:tc>
        <w:tc>
          <w:tcPr>
            <w:tcW w:w="524" w:type="pct"/>
            <w:vAlign w:val="center"/>
          </w:tcPr>
          <w:p w14:paraId="09BBB450" w14:textId="7E1056C6"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w:t>
            </w:r>
          </w:p>
        </w:tc>
      </w:tr>
      <w:tr w:rsidR="00320910" w:rsidRPr="00E84F7D" w14:paraId="50398079" w14:textId="77777777" w:rsidTr="008E6149">
        <w:trPr>
          <w:trHeight w:val="242"/>
        </w:trPr>
        <w:tc>
          <w:tcPr>
            <w:tcW w:w="1641" w:type="pct"/>
            <w:tcBorders>
              <w:bottom w:val="single" w:sz="4" w:space="0" w:color="auto"/>
            </w:tcBorders>
            <w:shd w:val="clear" w:color="auto" w:fill="auto"/>
            <w:noWrap/>
            <w:vAlign w:val="center"/>
          </w:tcPr>
          <w:p w14:paraId="201F2A94"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Uomini</w:t>
            </w:r>
          </w:p>
        </w:tc>
        <w:tc>
          <w:tcPr>
            <w:tcW w:w="487" w:type="pct"/>
            <w:tcBorders>
              <w:bottom w:val="single" w:sz="4" w:space="0" w:color="auto"/>
            </w:tcBorders>
            <w:shd w:val="clear" w:color="auto" w:fill="auto"/>
            <w:vAlign w:val="center"/>
          </w:tcPr>
          <w:p w14:paraId="66B134E0" w14:textId="150C3B45"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074</w:t>
            </w:r>
          </w:p>
        </w:tc>
        <w:tc>
          <w:tcPr>
            <w:tcW w:w="648" w:type="pct"/>
            <w:tcBorders>
              <w:bottom w:val="single" w:sz="4" w:space="0" w:color="auto"/>
            </w:tcBorders>
            <w:shd w:val="clear" w:color="auto" w:fill="auto"/>
            <w:vAlign w:val="center"/>
          </w:tcPr>
          <w:p w14:paraId="37467444" w14:textId="79FD8A2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173</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188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211</w:t>
            </w:r>
          </w:p>
        </w:tc>
        <w:tc>
          <w:tcPr>
            <w:tcW w:w="565" w:type="pct"/>
            <w:tcBorders>
              <w:bottom w:val="single" w:sz="4" w:space="0" w:color="auto"/>
            </w:tcBorders>
            <w:shd w:val="clear" w:color="auto" w:fill="auto"/>
            <w:vAlign w:val="center"/>
          </w:tcPr>
          <w:p w14:paraId="24E732AA" w14:textId="5D88A2C5"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06</w:t>
            </w:r>
          </w:p>
        </w:tc>
        <w:tc>
          <w:tcPr>
            <w:tcW w:w="487" w:type="pct"/>
            <w:tcBorders>
              <w:bottom w:val="single" w:sz="4" w:space="0" w:color="auto"/>
            </w:tcBorders>
            <w:vAlign w:val="center"/>
          </w:tcPr>
          <w:p w14:paraId="548F750E"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423</w:t>
            </w:r>
          </w:p>
        </w:tc>
        <w:tc>
          <w:tcPr>
            <w:tcW w:w="648" w:type="pct"/>
            <w:tcBorders>
              <w:bottom w:val="single" w:sz="4" w:space="0" w:color="auto"/>
            </w:tcBorders>
            <w:vAlign w:val="center"/>
          </w:tcPr>
          <w:p w14:paraId="1E8A7700" w14:textId="351FA9A8"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591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988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109</w:t>
            </w:r>
          </w:p>
        </w:tc>
        <w:tc>
          <w:tcPr>
            <w:tcW w:w="524" w:type="pct"/>
            <w:tcBorders>
              <w:bottom w:val="single" w:sz="4" w:space="0" w:color="auto"/>
            </w:tcBorders>
            <w:vAlign w:val="center"/>
          </w:tcPr>
          <w:p w14:paraId="4103F778" w14:textId="5036665D"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01</w:t>
            </w:r>
          </w:p>
        </w:tc>
      </w:tr>
      <w:tr w:rsidR="00320910" w:rsidRPr="00E84F7D" w14:paraId="3995BA72" w14:textId="77777777" w:rsidTr="008E6149">
        <w:trPr>
          <w:trHeight w:val="242"/>
        </w:trPr>
        <w:tc>
          <w:tcPr>
            <w:tcW w:w="1641" w:type="pct"/>
            <w:tcBorders>
              <w:bottom w:val="single" w:sz="4" w:space="0" w:color="auto"/>
            </w:tcBorders>
            <w:shd w:val="clear" w:color="auto" w:fill="auto"/>
            <w:noWrap/>
            <w:vAlign w:val="center"/>
          </w:tcPr>
          <w:p w14:paraId="49027F8B" w14:textId="77777777" w:rsidR="00320910" w:rsidRPr="00E84F7D" w:rsidRDefault="00320910" w:rsidP="008E6149">
            <w:pPr>
              <w:spacing w:after="0" w:line="240" w:lineRule="auto"/>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Area geografica</w:t>
            </w:r>
          </w:p>
        </w:tc>
        <w:tc>
          <w:tcPr>
            <w:tcW w:w="487" w:type="pct"/>
            <w:tcBorders>
              <w:bottom w:val="single" w:sz="4" w:space="0" w:color="auto"/>
            </w:tcBorders>
            <w:shd w:val="clear" w:color="auto" w:fill="auto"/>
            <w:vAlign w:val="center"/>
          </w:tcPr>
          <w:p w14:paraId="7FE3CC50"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 </w:t>
            </w:r>
          </w:p>
        </w:tc>
        <w:tc>
          <w:tcPr>
            <w:tcW w:w="648" w:type="pct"/>
            <w:tcBorders>
              <w:bottom w:val="single" w:sz="4" w:space="0" w:color="auto"/>
            </w:tcBorders>
            <w:shd w:val="clear" w:color="auto" w:fill="auto"/>
            <w:vAlign w:val="center"/>
          </w:tcPr>
          <w:p w14:paraId="61220A94"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 </w:t>
            </w:r>
          </w:p>
        </w:tc>
        <w:tc>
          <w:tcPr>
            <w:tcW w:w="565" w:type="pct"/>
            <w:tcBorders>
              <w:bottom w:val="single" w:sz="4" w:space="0" w:color="auto"/>
            </w:tcBorders>
            <w:shd w:val="clear" w:color="auto" w:fill="auto"/>
            <w:vAlign w:val="center"/>
          </w:tcPr>
          <w:p w14:paraId="71FCB0CC"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 </w:t>
            </w:r>
          </w:p>
        </w:tc>
        <w:tc>
          <w:tcPr>
            <w:tcW w:w="487" w:type="pct"/>
            <w:tcBorders>
              <w:bottom w:val="single" w:sz="4" w:space="0" w:color="auto"/>
            </w:tcBorders>
            <w:vAlign w:val="center"/>
          </w:tcPr>
          <w:p w14:paraId="06176492"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 </w:t>
            </w:r>
          </w:p>
        </w:tc>
        <w:tc>
          <w:tcPr>
            <w:tcW w:w="648" w:type="pct"/>
            <w:tcBorders>
              <w:bottom w:val="single" w:sz="4" w:space="0" w:color="auto"/>
            </w:tcBorders>
            <w:vAlign w:val="center"/>
          </w:tcPr>
          <w:p w14:paraId="4A79DC3A"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 </w:t>
            </w:r>
          </w:p>
        </w:tc>
        <w:tc>
          <w:tcPr>
            <w:tcW w:w="524" w:type="pct"/>
            <w:tcBorders>
              <w:bottom w:val="single" w:sz="4" w:space="0" w:color="auto"/>
            </w:tcBorders>
            <w:vAlign w:val="center"/>
          </w:tcPr>
          <w:p w14:paraId="400276D6"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 </w:t>
            </w:r>
          </w:p>
        </w:tc>
      </w:tr>
      <w:tr w:rsidR="00320910" w:rsidRPr="00E84F7D" w14:paraId="39869B24" w14:textId="77777777" w:rsidTr="008E6149">
        <w:trPr>
          <w:trHeight w:val="242"/>
        </w:trPr>
        <w:tc>
          <w:tcPr>
            <w:tcW w:w="1641" w:type="pct"/>
            <w:tcBorders>
              <w:bottom w:val="single" w:sz="4" w:space="0" w:color="auto"/>
            </w:tcBorders>
            <w:shd w:val="clear" w:color="auto" w:fill="auto"/>
            <w:noWrap/>
            <w:vAlign w:val="center"/>
          </w:tcPr>
          <w:p w14:paraId="401E84ED"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Nord</w:t>
            </w:r>
          </w:p>
        </w:tc>
        <w:tc>
          <w:tcPr>
            <w:tcW w:w="487" w:type="pct"/>
            <w:tcBorders>
              <w:bottom w:val="single" w:sz="4" w:space="0" w:color="auto"/>
            </w:tcBorders>
            <w:shd w:val="clear" w:color="auto" w:fill="auto"/>
            <w:vAlign w:val="center"/>
          </w:tcPr>
          <w:p w14:paraId="6DDE45F2" w14:textId="300C6A56"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325</w:t>
            </w:r>
          </w:p>
        </w:tc>
        <w:tc>
          <w:tcPr>
            <w:tcW w:w="648" w:type="pct"/>
            <w:tcBorders>
              <w:bottom w:val="single" w:sz="4" w:space="0" w:color="auto"/>
            </w:tcBorders>
            <w:shd w:val="clear" w:color="auto" w:fill="auto"/>
            <w:vAlign w:val="center"/>
          </w:tcPr>
          <w:p w14:paraId="032E4A8E" w14:textId="0191BC15"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193</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861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162</w:t>
            </w:r>
          </w:p>
        </w:tc>
        <w:tc>
          <w:tcPr>
            <w:tcW w:w="565" w:type="pct"/>
            <w:tcBorders>
              <w:bottom w:val="single" w:sz="4" w:space="0" w:color="auto"/>
            </w:tcBorders>
            <w:shd w:val="clear" w:color="auto" w:fill="auto"/>
            <w:vAlign w:val="center"/>
          </w:tcPr>
          <w:p w14:paraId="21EEE3F5" w14:textId="02531859"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07</w:t>
            </w:r>
          </w:p>
        </w:tc>
        <w:tc>
          <w:tcPr>
            <w:tcW w:w="487" w:type="pct"/>
            <w:tcBorders>
              <w:bottom w:val="single" w:sz="4" w:space="0" w:color="auto"/>
            </w:tcBorders>
            <w:vAlign w:val="center"/>
          </w:tcPr>
          <w:p w14:paraId="64ABF496"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493</w:t>
            </w:r>
          </w:p>
        </w:tc>
        <w:tc>
          <w:tcPr>
            <w:tcW w:w="648" w:type="pct"/>
            <w:tcBorders>
              <w:bottom w:val="single" w:sz="4" w:space="0" w:color="auto"/>
            </w:tcBorders>
            <w:vAlign w:val="center"/>
          </w:tcPr>
          <w:p w14:paraId="33D31362" w14:textId="0A125455"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722</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861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472</w:t>
            </w:r>
          </w:p>
        </w:tc>
        <w:tc>
          <w:tcPr>
            <w:tcW w:w="524" w:type="pct"/>
            <w:tcBorders>
              <w:bottom w:val="single" w:sz="4" w:space="0" w:color="auto"/>
            </w:tcBorders>
            <w:vAlign w:val="center"/>
          </w:tcPr>
          <w:p w14:paraId="439B57DD" w14:textId="350BE0B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01</w:t>
            </w:r>
          </w:p>
        </w:tc>
      </w:tr>
      <w:tr w:rsidR="00320910" w:rsidRPr="00E84F7D" w14:paraId="4B0AC1CF" w14:textId="77777777" w:rsidTr="008E6149">
        <w:trPr>
          <w:trHeight w:val="242"/>
        </w:trPr>
        <w:tc>
          <w:tcPr>
            <w:tcW w:w="1641" w:type="pct"/>
            <w:tcBorders>
              <w:bottom w:val="single" w:sz="4" w:space="0" w:color="auto"/>
            </w:tcBorders>
            <w:shd w:val="clear" w:color="auto" w:fill="auto"/>
            <w:noWrap/>
            <w:vAlign w:val="center"/>
          </w:tcPr>
          <w:p w14:paraId="7BFA9675"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Centro</w:t>
            </w:r>
          </w:p>
        </w:tc>
        <w:tc>
          <w:tcPr>
            <w:tcW w:w="487" w:type="pct"/>
            <w:tcBorders>
              <w:bottom w:val="single" w:sz="4" w:space="0" w:color="auto"/>
            </w:tcBorders>
            <w:shd w:val="clear" w:color="auto" w:fill="auto"/>
            <w:vAlign w:val="center"/>
          </w:tcPr>
          <w:p w14:paraId="576AF34C"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212</w:t>
            </w:r>
          </w:p>
        </w:tc>
        <w:tc>
          <w:tcPr>
            <w:tcW w:w="648" w:type="pct"/>
            <w:tcBorders>
              <w:bottom w:val="single" w:sz="4" w:space="0" w:color="auto"/>
            </w:tcBorders>
            <w:shd w:val="clear" w:color="auto" w:fill="auto"/>
            <w:vAlign w:val="center"/>
          </w:tcPr>
          <w:p w14:paraId="3D04A0EC" w14:textId="33291D6B"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50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247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221</w:t>
            </w:r>
          </w:p>
        </w:tc>
        <w:tc>
          <w:tcPr>
            <w:tcW w:w="565" w:type="pct"/>
            <w:tcBorders>
              <w:bottom w:val="single" w:sz="4" w:space="0" w:color="auto"/>
            </w:tcBorders>
            <w:shd w:val="clear" w:color="auto" w:fill="auto"/>
            <w:vAlign w:val="center"/>
          </w:tcPr>
          <w:p w14:paraId="759E504D" w14:textId="32757885"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04</w:t>
            </w:r>
          </w:p>
        </w:tc>
        <w:tc>
          <w:tcPr>
            <w:tcW w:w="487" w:type="pct"/>
            <w:tcBorders>
              <w:bottom w:val="single" w:sz="4" w:space="0" w:color="auto"/>
            </w:tcBorders>
            <w:vAlign w:val="center"/>
          </w:tcPr>
          <w:p w14:paraId="557BA09E"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118</w:t>
            </w:r>
          </w:p>
        </w:tc>
        <w:tc>
          <w:tcPr>
            <w:tcW w:w="648" w:type="pct"/>
            <w:tcBorders>
              <w:bottom w:val="single" w:sz="4" w:space="0" w:color="auto"/>
            </w:tcBorders>
            <w:vAlign w:val="center"/>
          </w:tcPr>
          <w:p w14:paraId="02CDB6FA" w14:textId="0A19B4B8"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188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773</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973</w:t>
            </w:r>
          </w:p>
        </w:tc>
        <w:tc>
          <w:tcPr>
            <w:tcW w:w="524" w:type="pct"/>
            <w:tcBorders>
              <w:bottom w:val="single" w:sz="4" w:space="0" w:color="auto"/>
            </w:tcBorders>
            <w:vAlign w:val="center"/>
          </w:tcPr>
          <w:p w14:paraId="28F145AD" w14:textId="04EB0C88"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01</w:t>
            </w:r>
          </w:p>
        </w:tc>
      </w:tr>
      <w:tr w:rsidR="00320910" w:rsidRPr="00E84F7D" w14:paraId="3A28764D" w14:textId="77777777" w:rsidTr="008E6149">
        <w:trPr>
          <w:trHeight w:val="242"/>
        </w:trPr>
        <w:tc>
          <w:tcPr>
            <w:tcW w:w="1641" w:type="pct"/>
            <w:tcBorders>
              <w:bottom w:val="single" w:sz="4" w:space="0" w:color="auto"/>
            </w:tcBorders>
            <w:shd w:val="clear" w:color="auto" w:fill="auto"/>
            <w:noWrap/>
            <w:vAlign w:val="center"/>
          </w:tcPr>
          <w:p w14:paraId="76BA095F"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Sud e isole</w:t>
            </w:r>
          </w:p>
        </w:tc>
        <w:tc>
          <w:tcPr>
            <w:tcW w:w="487" w:type="pct"/>
            <w:tcBorders>
              <w:bottom w:val="single" w:sz="4" w:space="0" w:color="auto"/>
            </w:tcBorders>
            <w:shd w:val="clear" w:color="auto" w:fill="auto"/>
            <w:vAlign w:val="center"/>
          </w:tcPr>
          <w:p w14:paraId="5A068649"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442</w:t>
            </w:r>
          </w:p>
        </w:tc>
        <w:tc>
          <w:tcPr>
            <w:tcW w:w="648" w:type="pct"/>
            <w:tcBorders>
              <w:bottom w:val="single" w:sz="4" w:space="0" w:color="auto"/>
            </w:tcBorders>
            <w:shd w:val="clear" w:color="auto" w:fill="auto"/>
            <w:vAlign w:val="center"/>
          </w:tcPr>
          <w:p w14:paraId="475A7343" w14:textId="7F5FEF2D"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122</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639</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075</w:t>
            </w:r>
          </w:p>
        </w:tc>
        <w:tc>
          <w:tcPr>
            <w:tcW w:w="565" w:type="pct"/>
            <w:tcBorders>
              <w:bottom w:val="single" w:sz="4" w:space="0" w:color="auto"/>
            </w:tcBorders>
            <w:shd w:val="clear" w:color="auto" w:fill="auto"/>
            <w:vAlign w:val="center"/>
          </w:tcPr>
          <w:p w14:paraId="7404BBE3" w14:textId="5690D6E3"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04</w:t>
            </w:r>
          </w:p>
        </w:tc>
        <w:tc>
          <w:tcPr>
            <w:tcW w:w="487" w:type="pct"/>
            <w:tcBorders>
              <w:bottom w:val="single" w:sz="4" w:space="0" w:color="auto"/>
            </w:tcBorders>
            <w:vAlign w:val="center"/>
          </w:tcPr>
          <w:p w14:paraId="74A8D88A"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175</w:t>
            </w:r>
          </w:p>
        </w:tc>
        <w:tc>
          <w:tcPr>
            <w:tcW w:w="648" w:type="pct"/>
            <w:tcBorders>
              <w:bottom w:val="single" w:sz="4" w:space="0" w:color="auto"/>
            </w:tcBorders>
            <w:vAlign w:val="center"/>
          </w:tcPr>
          <w:p w14:paraId="0C8827B0" w14:textId="542664DC"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440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338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304</w:t>
            </w:r>
          </w:p>
        </w:tc>
        <w:tc>
          <w:tcPr>
            <w:tcW w:w="524" w:type="pct"/>
            <w:tcBorders>
              <w:bottom w:val="single" w:sz="4" w:space="0" w:color="auto"/>
            </w:tcBorders>
            <w:vAlign w:val="center"/>
          </w:tcPr>
          <w:p w14:paraId="5E6740A9" w14:textId="5EED27F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004</w:t>
            </w:r>
          </w:p>
        </w:tc>
      </w:tr>
      <w:tr w:rsidR="00320910" w:rsidRPr="00A227B4" w14:paraId="5F66B4C5" w14:textId="77777777" w:rsidTr="008E6149">
        <w:trPr>
          <w:trHeight w:val="242"/>
        </w:trPr>
        <w:tc>
          <w:tcPr>
            <w:tcW w:w="1641" w:type="pct"/>
            <w:tcBorders>
              <w:bottom w:val="single" w:sz="4" w:space="0" w:color="auto"/>
            </w:tcBorders>
            <w:shd w:val="clear" w:color="auto" w:fill="auto"/>
            <w:noWrap/>
            <w:vAlign w:val="center"/>
          </w:tcPr>
          <w:p w14:paraId="3D4F38D2" w14:textId="77777777" w:rsidR="00320910" w:rsidRPr="00E84F7D" w:rsidRDefault="00320910" w:rsidP="008E6149">
            <w:pPr>
              <w:spacing w:after="0" w:line="240" w:lineRule="auto"/>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Periodo di prima somministrazione del vaccino COVID-19</w:t>
            </w:r>
          </w:p>
        </w:tc>
        <w:tc>
          <w:tcPr>
            <w:tcW w:w="487" w:type="pct"/>
            <w:tcBorders>
              <w:bottom w:val="single" w:sz="4" w:space="0" w:color="auto"/>
            </w:tcBorders>
            <w:shd w:val="clear" w:color="auto" w:fill="auto"/>
            <w:vAlign w:val="center"/>
          </w:tcPr>
          <w:p w14:paraId="2343A9C1"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color w:val="000000"/>
                <w:sz w:val="18"/>
                <w:szCs w:val="18"/>
                <w:lang w:val="it-IT"/>
              </w:rPr>
              <w:t> </w:t>
            </w:r>
          </w:p>
        </w:tc>
        <w:tc>
          <w:tcPr>
            <w:tcW w:w="648" w:type="pct"/>
            <w:tcBorders>
              <w:bottom w:val="single" w:sz="4" w:space="0" w:color="auto"/>
            </w:tcBorders>
            <w:shd w:val="clear" w:color="auto" w:fill="auto"/>
            <w:vAlign w:val="center"/>
          </w:tcPr>
          <w:p w14:paraId="75D4264E"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color w:val="000000"/>
                <w:sz w:val="18"/>
                <w:szCs w:val="18"/>
                <w:lang w:val="it-IT"/>
              </w:rPr>
              <w:t> </w:t>
            </w:r>
          </w:p>
        </w:tc>
        <w:tc>
          <w:tcPr>
            <w:tcW w:w="565" w:type="pct"/>
            <w:tcBorders>
              <w:bottom w:val="single" w:sz="4" w:space="0" w:color="auto"/>
            </w:tcBorders>
            <w:shd w:val="clear" w:color="auto" w:fill="auto"/>
            <w:vAlign w:val="center"/>
          </w:tcPr>
          <w:p w14:paraId="66CE6C54"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b/>
                <w:bCs/>
                <w:color w:val="000000"/>
                <w:sz w:val="18"/>
                <w:szCs w:val="18"/>
                <w:lang w:val="it-IT"/>
              </w:rPr>
              <w:t> </w:t>
            </w:r>
          </w:p>
        </w:tc>
        <w:tc>
          <w:tcPr>
            <w:tcW w:w="487" w:type="pct"/>
            <w:tcBorders>
              <w:bottom w:val="single" w:sz="4" w:space="0" w:color="auto"/>
            </w:tcBorders>
            <w:vAlign w:val="center"/>
          </w:tcPr>
          <w:p w14:paraId="181EC53C"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color w:val="000000"/>
                <w:sz w:val="18"/>
                <w:szCs w:val="18"/>
                <w:lang w:val="it-IT"/>
              </w:rPr>
              <w:t> </w:t>
            </w:r>
          </w:p>
        </w:tc>
        <w:tc>
          <w:tcPr>
            <w:tcW w:w="648" w:type="pct"/>
            <w:tcBorders>
              <w:bottom w:val="single" w:sz="4" w:space="0" w:color="auto"/>
            </w:tcBorders>
            <w:vAlign w:val="center"/>
          </w:tcPr>
          <w:p w14:paraId="6F8145CB"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color w:val="000000"/>
                <w:sz w:val="18"/>
                <w:szCs w:val="18"/>
                <w:lang w:val="it-IT"/>
              </w:rPr>
              <w:t> </w:t>
            </w:r>
          </w:p>
        </w:tc>
        <w:tc>
          <w:tcPr>
            <w:tcW w:w="524" w:type="pct"/>
            <w:tcBorders>
              <w:bottom w:val="single" w:sz="4" w:space="0" w:color="auto"/>
            </w:tcBorders>
            <w:vAlign w:val="center"/>
          </w:tcPr>
          <w:p w14:paraId="4D5F6306"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color w:val="000000"/>
                <w:sz w:val="18"/>
                <w:szCs w:val="18"/>
                <w:lang w:val="it-IT"/>
              </w:rPr>
              <w:t> </w:t>
            </w:r>
          </w:p>
        </w:tc>
      </w:tr>
      <w:tr w:rsidR="00320910" w:rsidRPr="00E84F7D" w14:paraId="5A12D8CE" w14:textId="77777777" w:rsidTr="008E6149">
        <w:trPr>
          <w:trHeight w:val="242"/>
        </w:trPr>
        <w:tc>
          <w:tcPr>
            <w:tcW w:w="1641" w:type="pct"/>
            <w:tcBorders>
              <w:bottom w:val="single" w:sz="4" w:space="0" w:color="auto"/>
            </w:tcBorders>
            <w:shd w:val="clear" w:color="auto" w:fill="auto"/>
            <w:noWrap/>
            <w:vAlign w:val="bottom"/>
          </w:tcPr>
          <w:p w14:paraId="0231D05F"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27/12/2020-31/01/2021</w:t>
            </w:r>
          </w:p>
        </w:tc>
        <w:tc>
          <w:tcPr>
            <w:tcW w:w="487" w:type="pct"/>
            <w:tcBorders>
              <w:bottom w:val="single" w:sz="4" w:space="0" w:color="auto"/>
            </w:tcBorders>
            <w:shd w:val="clear" w:color="auto" w:fill="auto"/>
            <w:vAlign w:val="center"/>
          </w:tcPr>
          <w:p w14:paraId="4C138814"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450</w:t>
            </w:r>
          </w:p>
        </w:tc>
        <w:tc>
          <w:tcPr>
            <w:tcW w:w="648" w:type="pct"/>
            <w:tcBorders>
              <w:bottom w:val="single" w:sz="4" w:space="0" w:color="auto"/>
            </w:tcBorders>
            <w:shd w:val="clear" w:color="auto" w:fill="auto"/>
            <w:vAlign w:val="center"/>
          </w:tcPr>
          <w:p w14:paraId="2458509F" w14:textId="4BC73DB1"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158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732</w:t>
            </w:r>
          </w:p>
        </w:tc>
        <w:tc>
          <w:tcPr>
            <w:tcW w:w="565" w:type="pct"/>
            <w:tcBorders>
              <w:bottom w:val="single" w:sz="4" w:space="0" w:color="auto"/>
            </w:tcBorders>
            <w:shd w:val="clear" w:color="auto" w:fill="auto"/>
            <w:vAlign w:val="center"/>
          </w:tcPr>
          <w:p w14:paraId="6B1996B6" w14:textId="5B2A4CA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26</w:t>
            </w:r>
          </w:p>
        </w:tc>
        <w:tc>
          <w:tcPr>
            <w:tcW w:w="487" w:type="pct"/>
            <w:tcBorders>
              <w:bottom w:val="single" w:sz="4" w:space="0" w:color="auto"/>
            </w:tcBorders>
            <w:vAlign w:val="center"/>
          </w:tcPr>
          <w:p w14:paraId="4FB7B1BD"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192</w:t>
            </w:r>
          </w:p>
        </w:tc>
        <w:tc>
          <w:tcPr>
            <w:tcW w:w="648" w:type="pct"/>
            <w:tcBorders>
              <w:bottom w:val="single" w:sz="4" w:space="0" w:color="auto"/>
            </w:tcBorders>
            <w:vAlign w:val="center"/>
          </w:tcPr>
          <w:p w14:paraId="552A6F9C" w14:textId="2312D662"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216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192</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562</w:t>
            </w:r>
          </w:p>
        </w:tc>
        <w:tc>
          <w:tcPr>
            <w:tcW w:w="524" w:type="pct"/>
            <w:tcBorders>
              <w:bottom w:val="single" w:sz="4" w:space="0" w:color="auto"/>
            </w:tcBorders>
            <w:vAlign w:val="center"/>
          </w:tcPr>
          <w:p w14:paraId="5808863E" w14:textId="385B8E0B"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01</w:t>
            </w:r>
          </w:p>
        </w:tc>
      </w:tr>
      <w:tr w:rsidR="00320910" w:rsidRPr="00E84F7D" w14:paraId="09EC9B67" w14:textId="77777777" w:rsidTr="008E6149">
        <w:trPr>
          <w:trHeight w:val="242"/>
        </w:trPr>
        <w:tc>
          <w:tcPr>
            <w:tcW w:w="1641" w:type="pct"/>
            <w:tcBorders>
              <w:bottom w:val="single" w:sz="4" w:space="0" w:color="auto"/>
            </w:tcBorders>
            <w:shd w:val="clear" w:color="auto" w:fill="auto"/>
            <w:noWrap/>
            <w:vAlign w:val="bottom"/>
          </w:tcPr>
          <w:p w14:paraId="20144056"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01/02/2021-28/02/2021</w:t>
            </w:r>
          </w:p>
        </w:tc>
        <w:tc>
          <w:tcPr>
            <w:tcW w:w="487" w:type="pct"/>
            <w:tcBorders>
              <w:bottom w:val="single" w:sz="4" w:space="0" w:color="auto"/>
            </w:tcBorders>
            <w:shd w:val="clear" w:color="auto" w:fill="auto"/>
            <w:vAlign w:val="center"/>
          </w:tcPr>
          <w:p w14:paraId="43F4F37E"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281</w:t>
            </w:r>
          </w:p>
        </w:tc>
        <w:tc>
          <w:tcPr>
            <w:tcW w:w="648" w:type="pct"/>
            <w:tcBorders>
              <w:bottom w:val="single" w:sz="4" w:space="0" w:color="auto"/>
            </w:tcBorders>
            <w:shd w:val="clear" w:color="auto" w:fill="auto"/>
            <w:vAlign w:val="center"/>
          </w:tcPr>
          <w:p w14:paraId="272DF0DB" w14:textId="254C554E"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528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679</w:t>
            </w:r>
          </w:p>
        </w:tc>
        <w:tc>
          <w:tcPr>
            <w:tcW w:w="565" w:type="pct"/>
            <w:tcBorders>
              <w:bottom w:val="single" w:sz="4" w:space="0" w:color="auto"/>
            </w:tcBorders>
            <w:shd w:val="clear" w:color="auto" w:fill="auto"/>
            <w:vAlign w:val="center"/>
          </w:tcPr>
          <w:p w14:paraId="287DD15C" w14:textId="217F9CD4"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17</w:t>
            </w:r>
          </w:p>
        </w:tc>
        <w:tc>
          <w:tcPr>
            <w:tcW w:w="487" w:type="pct"/>
            <w:tcBorders>
              <w:bottom w:val="single" w:sz="4" w:space="0" w:color="auto"/>
            </w:tcBorders>
            <w:vAlign w:val="center"/>
          </w:tcPr>
          <w:p w14:paraId="7DD57B0E"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178</w:t>
            </w:r>
          </w:p>
        </w:tc>
        <w:tc>
          <w:tcPr>
            <w:tcW w:w="648" w:type="pct"/>
            <w:tcBorders>
              <w:bottom w:val="single" w:sz="4" w:space="0" w:color="auto"/>
            </w:tcBorders>
            <w:vAlign w:val="center"/>
          </w:tcPr>
          <w:p w14:paraId="01DEB09D" w14:textId="3A662FE1"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162</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663</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015</w:t>
            </w:r>
          </w:p>
        </w:tc>
        <w:tc>
          <w:tcPr>
            <w:tcW w:w="524" w:type="pct"/>
            <w:tcBorders>
              <w:bottom w:val="single" w:sz="4" w:space="0" w:color="auto"/>
            </w:tcBorders>
            <w:vAlign w:val="center"/>
          </w:tcPr>
          <w:p w14:paraId="572A397F" w14:textId="481409D4"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01</w:t>
            </w:r>
          </w:p>
        </w:tc>
      </w:tr>
      <w:tr w:rsidR="00320910" w:rsidRPr="00E84F7D" w14:paraId="2F57FD1E" w14:textId="77777777" w:rsidTr="008E6149">
        <w:trPr>
          <w:trHeight w:val="242"/>
        </w:trPr>
        <w:tc>
          <w:tcPr>
            <w:tcW w:w="1641" w:type="pct"/>
            <w:tcBorders>
              <w:bottom w:val="single" w:sz="4" w:space="0" w:color="auto"/>
            </w:tcBorders>
            <w:shd w:val="clear" w:color="auto" w:fill="auto"/>
            <w:noWrap/>
            <w:vAlign w:val="bottom"/>
          </w:tcPr>
          <w:p w14:paraId="551275DD"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01/03/2021-28/03/2021</w:t>
            </w:r>
          </w:p>
        </w:tc>
        <w:tc>
          <w:tcPr>
            <w:tcW w:w="487" w:type="pct"/>
            <w:tcBorders>
              <w:bottom w:val="single" w:sz="4" w:space="0" w:color="auto"/>
            </w:tcBorders>
            <w:shd w:val="clear" w:color="auto" w:fill="auto"/>
            <w:vAlign w:val="center"/>
          </w:tcPr>
          <w:p w14:paraId="40408902"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653</w:t>
            </w:r>
          </w:p>
        </w:tc>
        <w:tc>
          <w:tcPr>
            <w:tcW w:w="648" w:type="pct"/>
            <w:tcBorders>
              <w:bottom w:val="single" w:sz="4" w:space="0" w:color="auto"/>
            </w:tcBorders>
            <w:shd w:val="clear" w:color="auto" w:fill="auto"/>
            <w:vAlign w:val="center"/>
          </w:tcPr>
          <w:p w14:paraId="06D4F6E2" w14:textId="3EC45750"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679</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483</w:t>
            </w:r>
          </w:p>
        </w:tc>
        <w:tc>
          <w:tcPr>
            <w:tcW w:w="565" w:type="pct"/>
            <w:tcBorders>
              <w:bottom w:val="single" w:sz="4" w:space="0" w:color="auto"/>
            </w:tcBorders>
            <w:shd w:val="clear" w:color="auto" w:fill="auto"/>
            <w:vAlign w:val="center"/>
          </w:tcPr>
          <w:p w14:paraId="330FF7D2" w14:textId="1425D7A6"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23</w:t>
            </w:r>
          </w:p>
        </w:tc>
        <w:tc>
          <w:tcPr>
            <w:tcW w:w="487" w:type="pct"/>
            <w:tcBorders>
              <w:bottom w:val="single" w:sz="4" w:space="0" w:color="auto"/>
            </w:tcBorders>
            <w:vAlign w:val="center"/>
          </w:tcPr>
          <w:p w14:paraId="06A30437"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260</w:t>
            </w:r>
          </w:p>
        </w:tc>
        <w:tc>
          <w:tcPr>
            <w:tcW w:w="648" w:type="pct"/>
            <w:tcBorders>
              <w:bottom w:val="single" w:sz="4" w:space="0" w:color="auto"/>
            </w:tcBorders>
            <w:vAlign w:val="center"/>
          </w:tcPr>
          <w:p w14:paraId="36E56C0D" w14:textId="00C6B9C3"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232</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492</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551</w:t>
            </w:r>
          </w:p>
        </w:tc>
        <w:tc>
          <w:tcPr>
            <w:tcW w:w="524" w:type="pct"/>
            <w:tcBorders>
              <w:bottom w:val="single" w:sz="4" w:space="0" w:color="auto"/>
            </w:tcBorders>
            <w:vAlign w:val="center"/>
          </w:tcPr>
          <w:p w14:paraId="1A6EFFCC" w14:textId="5CBEEE3F"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01</w:t>
            </w:r>
          </w:p>
        </w:tc>
      </w:tr>
      <w:tr w:rsidR="00320910" w:rsidRPr="00E84F7D" w14:paraId="7A268F5D" w14:textId="77777777" w:rsidTr="008E6149">
        <w:trPr>
          <w:trHeight w:val="242"/>
        </w:trPr>
        <w:tc>
          <w:tcPr>
            <w:tcW w:w="1641" w:type="pct"/>
            <w:tcBorders>
              <w:bottom w:val="single" w:sz="4" w:space="0" w:color="auto"/>
            </w:tcBorders>
            <w:shd w:val="clear" w:color="auto" w:fill="auto"/>
            <w:noWrap/>
            <w:vAlign w:val="bottom"/>
          </w:tcPr>
          <w:p w14:paraId="5D9630BA"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29/03/2021-25/04/2021</w:t>
            </w:r>
          </w:p>
        </w:tc>
        <w:tc>
          <w:tcPr>
            <w:tcW w:w="487" w:type="pct"/>
            <w:tcBorders>
              <w:bottom w:val="single" w:sz="4" w:space="0" w:color="auto"/>
            </w:tcBorders>
            <w:shd w:val="clear" w:color="auto" w:fill="auto"/>
            <w:vAlign w:val="center"/>
          </w:tcPr>
          <w:p w14:paraId="65D83EB0"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490</w:t>
            </w:r>
          </w:p>
        </w:tc>
        <w:tc>
          <w:tcPr>
            <w:tcW w:w="648" w:type="pct"/>
            <w:tcBorders>
              <w:bottom w:val="single" w:sz="4" w:space="0" w:color="auto"/>
            </w:tcBorders>
            <w:shd w:val="clear" w:color="auto" w:fill="auto"/>
            <w:vAlign w:val="center"/>
          </w:tcPr>
          <w:p w14:paraId="33E9CE17" w14:textId="15A9A33B"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52</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648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132</w:t>
            </w:r>
          </w:p>
        </w:tc>
        <w:tc>
          <w:tcPr>
            <w:tcW w:w="565" w:type="pct"/>
            <w:tcBorders>
              <w:bottom w:val="single" w:sz="4" w:space="0" w:color="auto"/>
            </w:tcBorders>
            <w:shd w:val="clear" w:color="auto" w:fill="auto"/>
            <w:vAlign w:val="center"/>
          </w:tcPr>
          <w:p w14:paraId="2B940E44" w14:textId="619FD859"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09</w:t>
            </w:r>
          </w:p>
        </w:tc>
        <w:tc>
          <w:tcPr>
            <w:tcW w:w="487" w:type="pct"/>
            <w:tcBorders>
              <w:bottom w:val="single" w:sz="4" w:space="0" w:color="auto"/>
            </w:tcBorders>
            <w:vAlign w:val="center"/>
          </w:tcPr>
          <w:p w14:paraId="69F40C3C"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142</w:t>
            </w:r>
          </w:p>
        </w:tc>
        <w:tc>
          <w:tcPr>
            <w:tcW w:w="648" w:type="pct"/>
            <w:tcBorders>
              <w:bottom w:val="single" w:sz="4" w:space="0" w:color="auto"/>
            </w:tcBorders>
            <w:vAlign w:val="center"/>
          </w:tcPr>
          <w:p w14:paraId="52864937" w14:textId="4518D2EE"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319</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795</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758</w:t>
            </w:r>
          </w:p>
        </w:tc>
        <w:tc>
          <w:tcPr>
            <w:tcW w:w="524" w:type="pct"/>
            <w:tcBorders>
              <w:bottom w:val="single" w:sz="4" w:space="0" w:color="auto"/>
            </w:tcBorders>
            <w:vAlign w:val="center"/>
          </w:tcPr>
          <w:p w14:paraId="04B3A0A5" w14:textId="5BE3879F"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004</w:t>
            </w:r>
          </w:p>
        </w:tc>
      </w:tr>
      <w:tr w:rsidR="00320910" w:rsidRPr="00E84F7D" w14:paraId="4720AC60" w14:textId="77777777" w:rsidTr="008E6149">
        <w:trPr>
          <w:trHeight w:val="242"/>
        </w:trPr>
        <w:tc>
          <w:tcPr>
            <w:tcW w:w="1641" w:type="pct"/>
            <w:tcBorders>
              <w:bottom w:val="single" w:sz="4" w:space="0" w:color="auto"/>
            </w:tcBorders>
            <w:shd w:val="clear" w:color="auto" w:fill="auto"/>
            <w:noWrap/>
            <w:vAlign w:val="bottom"/>
          </w:tcPr>
          <w:p w14:paraId="3456D02E"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26/04/2021-23/05/2021</w:t>
            </w:r>
          </w:p>
        </w:tc>
        <w:tc>
          <w:tcPr>
            <w:tcW w:w="487" w:type="pct"/>
            <w:tcBorders>
              <w:bottom w:val="single" w:sz="4" w:space="0" w:color="auto"/>
            </w:tcBorders>
            <w:shd w:val="clear" w:color="auto" w:fill="auto"/>
            <w:vAlign w:val="center"/>
          </w:tcPr>
          <w:p w14:paraId="017D560C"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86</w:t>
            </w:r>
          </w:p>
        </w:tc>
        <w:tc>
          <w:tcPr>
            <w:tcW w:w="648" w:type="pct"/>
            <w:tcBorders>
              <w:bottom w:val="single" w:sz="4" w:space="0" w:color="auto"/>
            </w:tcBorders>
            <w:shd w:val="clear" w:color="auto" w:fill="auto"/>
            <w:vAlign w:val="center"/>
          </w:tcPr>
          <w:p w14:paraId="405ABBF6" w14:textId="1DC48F51"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78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928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619</w:t>
            </w:r>
          </w:p>
        </w:tc>
        <w:tc>
          <w:tcPr>
            <w:tcW w:w="565" w:type="pct"/>
            <w:tcBorders>
              <w:bottom w:val="single" w:sz="4" w:space="0" w:color="auto"/>
            </w:tcBorders>
            <w:shd w:val="clear" w:color="auto" w:fill="auto"/>
            <w:vAlign w:val="center"/>
          </w:tcPr>
          <w:p w14:paraId="73E9AFA5" w14:textId="607C5A6C"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01</w:t>
            </w:r>
          </w:p>
        </w:tc>
        <w:tc>
          <w:tcPr>
            <w:tcW w:w="487" w:type="pct"/>
            <w:tcBorders>
              <w:bottom w:val="single" w:sz="4" w:space="0" w:color="auto"/>
            </w:tcBorders>
            <w:vAlign w:val="center"/>
          </w:tcPr>
          <w:p w14:paraId="67044C18"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11</w:t>
            </w:r>
          </w:p>
        </w:tc>
        <w:tc>
          <w:tcPr>
            <w:tcW w:w="648" w:type="pct"/>
            <w:tcBorders>
              <w:bottom w:val="single" w:sz="4" w:space="0" w:color="auto"/>
            </w:tcBorders>
            <w:vAlign w:val="center"/>
          </w:tcPr>
          <w:p w14:paraId="2AE81800" w14:textId="46519615"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287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669</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919</w:t>
            </w:r>
          </w:p>
        </w:tc>
        <w:tc>
          <w:tcPr>
            <w:tcW w:w="524" w:type="pct"/>
            <w:tcBorders>
              <w:bottom w:val="single" w:sz="4" w:space="0" w:color="auto"/>
            </w:tcBorders>
            <w:vAlign w:val="center"/>
          </w:tcPr>
          <w:p w14:paraId="24ED8554" w14:textId="5F7C04C9"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0004</w:t>
            </w:r>
          </w:p>
        </w:tc>
      </w:tr>
      <w:tr w:rsidR="00320910" w:rsidRPr="00E84F7D" w14:paraId="668A0B69" w14:textId="77777777" w:rsidTr="008E6149">
        <w:trPr>
          <w:trHeight w:val="242"/>
        </w:trPr>
        <w:tc>
          <w:tcPr>
            <w:tcW w:w="1641" w:type="pct"/>
            <w:shd w:val="clear" w:color="auto" w:fill="auto"/>
            <w:noWrap/>
            <w:vAlign w:val="bottom"/>
          </w:tcPr>
          <w:p w14:paraId="4B81B5F1"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24/05/2021-20/06/2021</w:t>
            </w:r>
          </w:p>
        </w:tc>
        <w:tc>
          <w:tcPr>
            <w:tcW w:w="487" w:type="pct"/>
            <w:shd w:val="clear" w:color="auto" w:fill="auto"/>
            <w:vAlign w:val="center"/>
          </w:tcPr>
          <w:p w14:paraId="4A2DBAF0"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14</w:t>
            </w:r>
          </w:p>
        </w:tc>
        <w:tc>
          <w:tcPr>
            <w:tcW w:w="648" w:type="pct"/>
            <w:shd w:val="clear" w:color="auto" w:fill="auto"/>
            <w:vAlign w:val="center"/>
          </w:tcPr>
          <w:p w14:paraId="5769619A" w14:textId="39EF5444"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116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517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465</w:t>
            </w:r>
          </w:p>
        </w:tc>
        <w:tc>
          <w:tcPr>
            <w:tcW w:w="565" w:type="pct"/>
            <w:shd w:val="clear" w:color="auto" w:fill="auto"/>
            <w:vAlign w:val="center"/>
          </w:tcPr>
          <w:p w14:paraId="00D237AD" w14:textId="1690A94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001</w:t>
            </w:r>
          </w:p>
        </w:tc>
        <w:tc>
          <w:tcPr>
            <w:tcW w:w="487" w:type="pct"/>
            <w:vAlign w:val="center"/>
          </w:tcPr>
          <w:p w14:paraId="1BAE9C73"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3</w:t>
            </w:r>
          </w:p>
        </w:tc>
        <w:tc>
          <w:tcPr>
            <w:tcW w:w="648" w:type="pct"/>
            <w:vAlign w:val="center"/>
          </w:tcPr>
          <w:p w14:paraId="14B4AEE3" w14:textId="53FAD26E"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132</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030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503</w:t>
            </w:r>
          </w:p>
        </w:tc>
        <w:tc>
          <w:tcPr>
            <w:tcW w:w="524" w:type="pct"/>
            <w:vAlign w:val="center"/>
          </w:tcPr>
          <w:p w14:paraId="72A607E7" w14:textId="615C7275"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0002</w:t>
            </w:r>
          </w:p>
        </w:tc>
      </w:tr>
      <w:tr w:rsidR="00320910" w:rsidRPr="00E84F7D" w14:paraId="7F1D6176" w14:textId="77777777" w:rsidTr="008E6149">
        <w:trPr>
          <w:trHeight w:val="242"/>
        </w:trPr>
        <w:tc>
          <w:tcPr>
            <w:tcW w:w="1641" w:type="pct"/>
            <w:tcBorders>
              <w:bottom w:val="single" w:sz="4" w:space="0" w:color="auto"/>
            </w:tcBorders>
            <w:shd w:val="clear" w:color="auto" w:fill="auto"/>
            <w:noWrap/>
            <w:vAlign w:val="bottom"/>
          </w:tcPr>
          <w:p w14:paraId="58E49F53"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21/06/2021-18/07/2021</w:t>
            </w:r>
          </w:p>
        </w:tc>
        <w:tc>
          <w:tcPr>
            <w:tcW w:w="487" w:type="pct"/>
            <w:tcBorders>
              <w:bottom w:val="single" w:sz="4" w:space="0" w:color="auto"/>
            </w:tcBorders>
            <w:shd w:val="clear" w:color="auto" w:fill="auto"/>
            <w:vAlign w:val="center"/>
          </w:tcPr>
          <w:p w14:paraId="55C1075F"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5</w:t>
            </w:r>
          </w:p>
        </w:tc>
        <w:tc>
          <w:tcPr>
            <w:tcW w:w="648" w:type="pct"/>
            <w:tcBorders>
              <w:bottom w:val="single" w:sz="4" w:space="0" w:color="auto"/>
            </w:tcBorders>
            <w:shd w:val="clear" w:color="auto" w:fill="auto"/>
            <w:vAlign w:val="center"/>
          </w:tcPr>
          <w:p w14:paraId="6944A7A4" w14:textId="79832569"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56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286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348</w:t>
            </w:r>
          </w:p>
        </w:tc>
        <w:tc>
          <w:tcPr>
            <w:tcW w:w="565" w:type="pct"/>
            <w:tcBorders>
              <w:bottom w:val="single" w:sz="4" w:space="0" w:color="auto"/>
            </w:tcBorders>
            <w:shd w:val="clear" w:color="auto" w:fill="auto"/>
            <w:vAlign w:val="center"/>
          </w:tcPr>
          <w:p w14:paraId="09E04082" w14:textId="1060062C"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001</w:t>
            </w:r>
          </w:p>
        </w:tc>
        <w:tc>
          <w:tcPr>
            <w:tcW w:w="487" w:type="pct"/>
            <w:tcBorders>
              <w:bottom w:val="single" w:sz="4" w:space="0" w:color="auto"/>
            </w:tcBorders>
            <w:vAlign w:val="center"/>
          </w:tcPr>
          <w:p w14:paraId="7B176D5A"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p>
        </w:tc>
        <w:tc>
          <w:tcPr>
            <w:tcW w:w="648" w:type="pct"/>
            <w:tcBorders>
              <w:bottom w:val="single" w:sz="4" w:space="0" w:color="auto"/>
            </w:tcBorders>
            <w:vAlign w:val="center"/>
          </w:tcPr>
          <w:p w14:paraId="4CCB0364" w14:textId="5C0A9B8A"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129</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441</w:t>
            </w:r>
          </w:p>
        </w:tc>
        <w:tc>
          <w:tcPr>
            <w:tcW w:w="524" w:type="pct"/>
            <w:tcBorders>
              <w:bottom w:val="single" w:sz="4" w:space="0" w:color="auto"/>
            </w:tcBorders>
            <w:vAlign w:val="center"/>
          </w:tcPr>
          <w:p w14:paraId="234DEA2C"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 </w:t>
            </w:r>
          </w:p>
        </w:tc>
      </w:tr>
      <w:tr w:rsidR="00320910" w:rsidRPr="00A227B4" w14:paraId="3844F01C" w14:textId="77777777" w:rsidTr="008E6149">
        <w:trPr>
          <w:trHeight w:val="242"/>
        </w:trPr>
        <w:tc>
          <w:tcPr>
            <w:tcW w:w="1641" w:type="pct"/>
            <w:tcBorders>
              <w:bottom w:val="single" w:sz="4" w:space="0" w:color="auto"/>
            </w:tcBorders>
            <w:shd w:val="clear" w:color="auto" w:fill="auto"/>
            <w:noWrap/>
            <w:vAlign w:val="center"/>
          </w:tcPr>
          <w:p w14:paraId="2530F703" w14:textId="77777777" w:rsidR="00320910" w:rsidRPr="00E84F7D" w:rsidRDefault="00320910" w:rsidP="008E6149">
            <w:pPr>
              <w:spacing w:after="0" w:line="240" w:lineRule="auto"/>
              <w:rPr>
                <w:rFonts w:eastAsia="Times New Roman" w:cstheme="minorHAnsi"/>
                <w:b/>
                <w:bCs/>
                <w:color w:val="000000" w:themeColor="text1"/>
                <w:sz w:val="18"/>
                <w:szCs w:val="18"/>
                <w:lang w:val="it-IT" w:eastAsia="it-IT"/>
              </w:rPr>
            </w:pPr>
            <w:r w:rsidRPr="00E84F7D">
              <w:rPr>
                <w:rFonts w:eastAsia="Times New Roman" w:cstheme="minorHAnsi"/>
                <w:b/>
                <w:bCs/>
                <w:color w:val="000000" w:themeColor="text1"/>
                <w:sz w:val="18"/>
                <w:szCs w:val="18"/>
                <w:lang w:val="it-IT" w:eastAsia="it-IT"/>
              </w:rPr>
              <w:t>Categorie prioritarie per la vaccinazione</w:t>
            </w:r>
          </w:p>
        </w:tc>
        <w:tc>
          <w:tcPr>
            <w:tcW w:w="487" w:type="pct"/>
            <w:tcBorders>
              <w:bottom w:val="single" w:sz="4" w:space="0" w:color="auto"/>
            </w:tcBorders>
            <w:shd w:val="clear" w:color="auto" w:fill="auto"/>
            <w:vAlign w:val="center"/>
          </w:tcPr>
          <w:p w14:paraId="6280ED67"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color w:val="000000"/>
                <w:sz w:val="18"/>
                <w:szCs w:val="18"/>
                <w:lang w:val="it-IT"/>
              </w:rPr>
              <w:t> </w:t>
            </w:r>
          </w:p>
        </w:tc>
        <w:tc>
          <w:tcPr>
            <w:tcW w:w="648" w:type="pct"/>
            <w:tcBorders>
              <w:bottom w:val="single" w:sz="4" w:space="0" w:color="auto"/>
            </w:tcBorders>
            <w:shd w:val="clear" w:color="auto" w:fill="auto"/>
            <w:vAlign w:val="center"/>
          </w:tcPr>
          <w:p w14:paraId="072074EB"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color w:val="000000"/>
                <w:sz w:val="18"/>
                <w:szCs w:val="18"/>
                <w:lang w:val="it-IT"/>
              </w:rPr>
              <w:t> </w:t>
            </w:r>
          </w:p>
        </w:tc>
        <w:tc>
          <w:tcPr>
            <w:tcW w:w="565" w:type="pct"/>
            <w:tcBorders>
              <w:bottom w:val="single" w:sz="4" w:space="0" w:color="auto"/>
            </w:tcBorders>
            <w:shd w:val="clear" w:color="auto" w:fill="auto"/>
            <w:vAlign w:val="center"/>
          </w:tcPr>
          <w:p w14:paraId="03320F73"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color w:val="000000"/>
                <w:sz w:val="18"/>
                <w:szCs w:val="18"/>
                <w:lang w:val="it-IT"/>
              </w:rPr>
              <w:t> </w:t>
            </w:r>
          </w:p>
        </w:tc>
        <w:tc>
          <w:tcPr>
            <w:tcW w:w="487" w:type="pct"/>
            <w:tcBorders>
              <w:bottom w:val="single" w:sz="4" w:space="0" w:color="auto"/>
            </w:tcBorders>
            <w:vAlign w:val="center"/>
          </w:tcPr>
          <w:p w14:paraId="32876B78"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color w:val="000000"/>
                <w:sz w:val="18"/>
                <w:szCs w:val="18"/>
                <w:lang w:val="it-IT"/>
              </w:rPr>
              <w:t> </w:t>
            </w:r>
          </w:p>
        </w:tc>
        <w:tc>
          <w:tcPr>
            <w:tcW w:w="648" w:type="pct"/>
            <w:tcBorders>
              <w:bottom w:val="single" w:sz="4" w:space="0" w:color="auto"/>
            </w:tcBorders>
            <w:vAlign w:val="center"/>
          </w:tcPr>
          <w:p w14:paraId="1032B962"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color w:val="000000"/>
                <w:sz w:val="18"/>
                <w:szCs w:val="18"/>
                <w:lang w:val="it-IT"/>
              </w:rPr>
              <w:t> </w:t>
            </w:r>
          </w:p>
        </w:tc>
        <w:tc>
          <w:tcPr>
            <w:tcW w:w="524" w:type="pct"/>
            <w:tcBorders>
              <w:bottom w:val="single" w:sz="4" w:space="0" w:color="auto"/>
            </w:tcBorders>
            <w:vAlign w:val="center"/>
          </w:tcPr>
          <w:p w14:paraId="04FEA678" w14:textId="77777777" w:rsidR="00320910" w:rsidRPr="00E84F7D" w:rsidRDefault="00320910" w:rsidP="008E6149">
            <w:pPr>
              <w:spacing w:after="0" w:line="240" w:lineRule="auto"/>
              <w:jc w:val="center"/>
              <w:rPr>
                <w:rFonts w:eastAsia="Times New Roman" w:cstheme="minorHAnsi"/>
                <w:b/>
                <w:bCs/>
                <w:color w:val="000000" w:themeColor="text1"/>
                <w:sz w:val="18"/>
                <w:szCs w:val="18"/>
                <w:lang w:val="it-IT" w:eastAsia="it-IT"/>
              </w:rPr>
            </w:pPr>
            <w:r w:rsidRPr="00E84F7D">
              <w:rPr>
                <w:rFonts w:ascii="Calibri" w:hAnsi="Calibri" w:cs="Calibri"/>
                <w:color w:val="000000"/>
                <w:sz w:val="18"/>
                <w:szCs w:val="18"/>
                <w:lang w:val="it-IT"/>
              </w:rPr>
              <w:t> </w:t>
            </w:r>
          </w:p>
        </w:tc>
      </w:tr>
      <w:tr w:rsidR="00320910" w:rsidRPr="00E84F7D" w14:paraId="396FD1B9" w14:textId="77777777" w:rsidTr="008E6149">
        <w:trPr>
          <w:trHeight w:val="242"/>
        </w:trPr>
        <w:tc>
          <w:tcPr>
            <w:tcW w:w="1641" w:type="pct"/>
            <w:tcBorders>
              <w:bottom w:val="single" w:sz="4" w:space="0" w:color="auto"/>
            </w:tcBorders>
            <w:shd w:val="clear" w:color="auto" w:fill="auto"/>
            <w:noWrap/>
            <w:vAlign w:val="bottom"/>
          </w:tcPr>
          <w:p w14:paraId="47BC2396"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Operatori sanitari</w:t>
            </w:r>
          </w:p>
        </w:tc>
        <w:tc>
          <w:tcPr>
            <w:tcW w:w="487" w:type="pct"/>
            <w:tcBorders>
              <w:bottom w:val="single" w:sz="4" w:space="0" w:color="auto"/>
            </w:tcBorders>
            <w:shd w:val="clear" w:color="auto" w:fill="auto"/>
            <w:vAlign w:val="center"/>
          </w:tcPr>
          <w:p w14:paraId="17ADFAED"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12</w:t>
            </w:r>
          </w:p>
        </w:tc>
        <w:tc>
          <w:tcPr>
            <w:tcW w:w="648" w:type="pct"/>
            <w:tcBorders>
              <w:bottom w:val="single" w:sz="4" w:space="0" w:color="auto"/>
            </w:tcBorders>
            <w:shd w:val="clear" w:color="auto" w:fill="auto"/>
            <w:vAlign w:val="center"/>
          </w:tcPr>
          <w:p w14:paraId="088009E0" w14:textId="0CC31215"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671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527</w:t>
            </w:r>
          </w:p>
        </w:tc>
        <w:tc>
          <w:tcPr>
            <w:tcW w:w="565" w:type="pct"/>
            <w:tcBorders>
              <w:bottom w:val="single" w:sz="4" w:space="0" w:color="auto"/>
            </w:tcBorders>
            <w:shd w:val="clear" w:color="auto" w:fill="auto"/>
            <w:vAlign w:val="center"/>
          </w:tcPr>
          <w:p w14:paraId="33079D8F" w14:textId="5DD2FA89"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01</w:t>
            </w:r>
          </w:p>
        </w:tc>
        <w:tc>
          <w:tcPr>
            <w:tcW w:w="487" w:type="pct"/>
            <w:tcBorders>
              <w:bottom w:val="single" w:sz="4" w:space="0" w:color="auto"/>
            </w:tcBorders>
            <w:vAlign w:val="center"/>
          </w:tcPr>
          <w:p w14:paraId="46343FDB"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10</w:t>
            </w:r>
          </w:p>
        </w:tc>
        <w:tc>
          <w:tcPr>
            <w:tcW w:w="648" w:type="pct"/>
            <w:tcBorders>
              <w:bottom w:val="single" w:sz="4" w:space="0" w:color="auto"/>
            </w:tcBorders>
            <w:vAlign w:val="center"/>
          </w:tcPr>
          <w:p w14:paraId="5D828448" w14:textId="7EAC4472"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224</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157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373</w:t>
            </w:r>
          </w:p>
        </w:tc>
        <w:tc>
          <w:tcPr>
            <w:tcW w:w="524" w:type="pct"/>
            <w:tcBorders>
              <w:bottom w:val="single" w:sz="4" w:space="0" w:color="auto"/>
            </w:tcBorders>
            <w:vAlign w:val="center"/>
          </w:tcPr>
          <w:p w14:paraId="7319A22F" w14:textId="5587C7EF"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0004</w:t>
            </w:r>
          </w:p>
        </w:tc>
      </w:tr>
      <w:tr w:rsidR="00320910" w:rsidRPr="00E84F7D" w14:paraId="04F5EEC5" w14:textId="77777777" w:rsidTr="008E6149">
        <w:trPr>
          <w:trHeight w:val="242"/>
        </w:trPr>
        <w:tc>
          <w:tcPr>
            <w:tcW w:w="1641" w:type="pct"/>
            <w:tcBorders>
              <w:bottom w:val="single" w:sz="4" w:space="0" w:color="auto"/>
            </w:tcBorders>
            <w:shd w:val="clear" w:color="auto" w:fill="auto"/>
            <w:noWrap/>
            <w:vAlign w:val="bottom"/>
          </w:tcPr>
          <w:p w14:paraId="11CD685F"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Ospiti RSA</w:t>
            </w:r>
          </w:p>
        </w:tc>
        <w:tc>
          <w:tcPr>
            <w:tcW w:w="487" w:type="pct"/>
            <w:tcBorders>
              <w:bottom w:val="single" w:sz="4" w:space="0" w:color="auto"/>
            </w:tcBorders>
            <w:shd w:val="clear" w:color="auto" w:fill="auto"/>
            <w:vAlign w:val="center"/>
          </w:tcPr>
          <w:p w14:paraId="1029C6E7"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522</w:t>
            </w:r>
          </w:p>
        </w:tc>
        <w:tc>
          <w:tcPr>
            <w:tcW w:w="648" w:type="pct"/>
            <w:tcBorders>
              <w:bottom w:val="single" w:sz="4" w:space="0" w:color="auto"/>
            </w:tcBorders>
            <w:shd w:val="clear" w:color="auto" w:fill="auto"/>
            <w:vAlign w:val="center"/>
          </w:tcPr>
          <w:p w14:paraId="2DC03CD9" w14:textId="0C921FAC"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3</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934</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425</w:t>
            </w:r>
          </w:p>
        </w:tc>
        <w:tc>
          <w:tcPr>
            <w:tcW w:w="565" w:type="pct"/>
            <w:tcBorders>
              <w:bottom w:val="single" w:sz="4" w:space="0" w:color="auto"/>
            </w:tcBorders>
            <w:shd w:val="clear" w:color="auto" w:fill="auto"/>
            <w:vAlign w:val="center"/>
          </w:tcPr>
          <w:p w14:paraId="42EB1BC3" w14:textId="4850CB5E"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33</w:t>
            </w:r>
          </w:p>
        </w:tc>
        <w:tc>
          <w:tcPr>
            <w:tcW w:w="487" w:type="pct"/>
            <w:tcBorders>
              <w:bottom w:val="single" w:sz="4" w:space="0" w:color="auto"/>
            </w:tcBorders>
            <w:vAlign w:val="center"/>
          </w:tcPr>
          <w:p w14:paraId="5094D3E4"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212</w:t>
            </w:r>
          </w:p>
        </w:tc>
        <w:tc>
          <w:tcPr>
            <w:tcW w:w="648" w:type="pct"/>
            <w:tcBorders>
              <w:bottom w:val="single" w:sz="4" w:space="0" w:color="auto"/>
            </w:tcBorders>
            <w:vAlign w:val="center"/>
          </w:tcPr>
          <w:p w14:paraId="7891B9AD" w14:textId="6A3FF4FE"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37</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156</w:t>
            </w:r>
          </w:p>
        </w:tc>
        <w:tc>
          <w:tcPr>
            <w:tcW w:w="524" w:type="pct"/>
            <w:tcBorders>
              <w:bottom w:val="single" w:sz="4" w:space="0" w:color="auto"/>
            </w:tcBorders>
            <w:vAlign w:val="center"/>
          </w:tcPr>
          <w:p w14:paraId="098D189D" w14:textId="050F89E0"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06</w:t>
            </w:r>
          </w:p>
        </w:tc>
      </w:tr>
      <w:tr w:rsidR="00320910" w:rsidRPr="00E84F7D" w14:paraId="7F093F1E" w14:textId="77777777" w:rsidTr="008E6149">
        <w:trPr>
          <w:trHeight w:val="242"/>
        </w:trPr>
        <w:tc>
          <w:tcPr>
            <w:tcW w:w="1641" w:type="pct"/>
            <w:tcBorders>
              <w:bottom w:val="single" w:sz="4" w:space="0" w:color="auto"/>
            </w:tcBorders>
            <w:shd w:val="clear" w:color="auto" w:fill="auto"/>
            <w:noWrap/>
            <w:vAlign w:val="bottom"/>
          </w:tcPr>
          <w:p w14:paraId="69D5A3BA"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Individui affetti da patologie</w:t>
            </w:r>
          </w:p>
        </w:tc>
        <w:tc>
          <w:tcPr>
            <w:tcW w:w="487" w:type="pct"/>
            <w:tcBorders>
              <w:bottom w:val="single" w:sz="4" w:space="0" w:color="auto"/>
            </w:tcBorders>
            <w:shd w:val="clear" w:color="auto" w:fill="auto"/>
            <w:vAlign w:val="center"/>
          </w:tcPr>
          <w:p w14:paraId="43F6FE32"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211</w:t>
            </w:r>
          </w:p>
        </w:tc>
        <w:tc>
          <w:tcPr>
            <w:tcW w:w="648" w:type="pct"/>
            <w:tcBorders>
              <w:bottom w:val="single" w:sz="4" w:space="0" w:color="auto"/>
            </w:tcBorders>
            <w:shd w:val="clear" w:color="auto" w:fill="auto"/>
            <w:vAlign w:val="center"/>
          </w:tcPr>
          <w:p w14:paraId="7582A604" w14:textId="7BEAE3A9"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55</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993</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176</w:t>
            </w:r>
          </w:p>
        </w:tc>
        <w:tc>
          <w:tcPr>
            <w:tcW w:w="565" w:type="pct"/>
            <w:tcBorders>
              <w:bottom w:val="single" w:sz="4" w:space="0" w:color="auto"/>
            </w:tcBorders>
            <w:shd w:val="clear" w:color="auto" w:fill="auto"/>
            <w:vAlign w:val="center"/>
          </w:tcPr>
          <w:p w14:paraId="3027F033" w14:textId="238DBAE3"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04</w:t>
            </w:r>
          </w:p>
        </w:tc>
        <w:tc>
          <w:tcPr>
            <w:tcW w:w="487" w:type="pct"/>
            <w:tcBorders>
              <w:bottom w:val="single" w:sz="4" w:space="0" w:color="auto"/>
            </w:tcBorders>
            <w:vAlign w:val="center"/>
          </w:tcPr>
          <w:p w14:paraId="07369B0A"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64</w:t>
            </w:r>
          </w:p>
        </w:tc>
        <w:tc>
          <w:tcPr>
            <w:tcW w:w="648" w:type="pct"/>
            <w:tcBorders>
              <w:bottom w:val="single" w:sz="4" w:space="0" w:color="auto"/>
            </w:tcBorders>
            <w:vAlign w:val="center"/>
          </w:tcPr>
          <w:p w14:paraId="54E67F2F" w14:textId="690F99FE"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241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034</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626</w:t>
            </w:r>
          </w:p>
        </w:tc>
        <w:tc>
          <w:tcPr>
            <w:tcW w:w="524" w:type="pct"/>
            <w:tcBorders>
              <w:bottom w:val="single" w:sz="4" w:space="0" w:color="auto"/>
            </w:tcBorders>
            <w:vAlign w:val="center"/>
          </w:tcPr>
          <w:p w14:paraId="29AA22E4" w14:textId="6C1D0A35"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003</w:t>
            </w:r>
          </w:p>
        </w:tc>
      </w:tr>
      <w:tr w:rsidR="00320910" w:rsidRPr="00E84F7D" w14:paraId="43916D3C" w14:textId="77777777" w:rsidTr="008E6149">
        <w:trPr>
          <w:trHeight w:val="242"/>
        </w:trPr>
        <w:tc>
          <w:tcPr>
            <w:tcW w:w="1641" w:type="pct"/>
            <w:shd w:val="clear" w:color="auto" w:fill="auto"/>
            <w:noWrap/>
            <w:vAlign w:val="bottom"/>
          </w:tcPr>
          <w:p w14:paraId="20C76E3E"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Individui immunocompromessi</w:t>
            </w:r>
          </w:p>
        </w:tc>
        <w:tc>
          <w:tcPr>
            <w:tcW w:w="487" w:type="pct"/>
            <w:shd w:val="clear" w:color="auto" w:fill="auto"/>
            <w:vAlign w:val="center"/>
          </w:tcPr>
          <w:p w14:paraId="1DDCFC3E"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1</w:t>
            </w:r>
          </w:p>
        </w:tc>
        <w:tc>
          <w:tcPr>
            <w:tcW w:w="648" w:type="pct"/>
            <w:shd w:val="clear" w:color="auto" w:fill="auto"/>
            <w:vAlign w:val="center"/>
          </w:tcPr>
          <w:p w14:paraId="41C5A772" w14:textId="3F7AC50D"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988</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205</w:t>
            </w:r>
          </w:p>
        </w:tc>
        <w:tc>
          <w:tcPr>
            <w:tcW w:w="565" w:type="pct"/>
            <w:shd w:val="clear" w:color="auto" w:fill="auto"/>
            <w:vAlign w:val="center"/>
          </w:tcPr>
          <w:p w14:paraId="56B5A0D9" w14:textId="47AFBDEC"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01</w:t>
            </w:r>
          </w:p>
        </w:tc>
        <w:tc>
          <w:tcPr>
            <w:tcW w:w="487" w:type="pct"/>
            <w:vAlign w:val="center"/>
          </w:tcPr>
          <w:p w14:paraId="10E875E8" w14:textId="77777777"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2</w:t>
            </w:r>
          </w:p>
        </w:tc>
        <w:tc>
          <w:tcPr>
            <w:tcW w:w="648" w:type="pct"/>
            <w:vAlign w:val="center"/>
          </w:tcPr>
          <w:p w14:paraId="41000D4A" w14:textId="7396C216"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4</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206</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534</w:t>
            </w:r>
          </w:p>
        </w:tc>
        <w:tc>
          <w:tcPr>
            <w:tcW w:w="524" w:type="pct"/>
            <w:vAlign w:val="center"/>
          </w:tcPr>
          <w:p w14:paraId="3A0A98B7" w14:textId="785A80F9" w:rsidR="00320910" w:rsidRPr="00E84F7D" w:rsidRDefault="00320910" w:rsidP="008E6149">
            <w:pPr>
              <w:spacing w:after="0" w:line="240" w:lineRule="auto"/>
              <w:jc w:val="right"/>
              <w:rPr>
                <w:rFonts w:eastAsia="Times New Roman" w:cstheme="minorHAnsi"/>
                <w:bCs/>
                <w:color w:val="000000" w:themeColor="text1"/>
                <w:sz w:val="18"/>
                <w:szCs w:val="18"/>
                <w:lang w:val="it-IT" w:eastAsia="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005</w:t>
            </w:r>
          </w:p>
        </w:tc>
      </w:tr>
      <w:tr w:rsidR="00320910" w:rsidRPr="00E84F7D" w14:paraId="54E89BF6" w14:textId="77777777" w:rsidTr="008E6149">
        <w:trPr>
          <w:trHeight w:val="242"/>
        </w:trPr>
        <w:tc>
          <w:tcPr>
            <w:tcW w:w="1641" w:type="pct"/>
            <w:shd w:val="clear" w:color="auto" w:fill="auto"/>
            <w:noWrap/>
            <w:vAlign w:val="bottom"/>
          </w:tcPr>
          <w:p w14:paraId="3D187EF3" w14:textId="77777777" w:rsidR="00320910" w:rsidRPr="00E84F7D" w:rsidRDefault="00320910" w:rsidP="008E6149">
            <w:pPr>
              <w:spacing w:after="0" w:line="240" w:lineRule="auto"/>
              <w:ind w:left="209"/>
              <w:rPr>
                <w:rFonts w:eastAsia="Times New Roman" w:cstheme="minorHAnsi"/>
                <w:color w:val="000000" w:themeColor="text1"/>
                <w:sz w:val="18"/>
                <w:szCs w:val="18"/>
                <w:lang w:val="it-IT" w:eastAsia="it-IT"/>
              </w:rPr>
            </w:pPr>
            <w:r w:rsidRPr="00E84F7D">
              <w:rPr>
                <w:rFonts w:eastAsia="Times New Roman" w:cstheme="minorHAnsi"/>
                <w:color w:val="000000" w:themeColor="text1"/>
                <w:sz w:val="18"/>
                <w:szCs w:val="18"/>
                <w:lang w:val="it-IT" w:eastAsia="it-IT"/>
              </w:rPr>
              <w:t>Altre categorie prioritarie</w:t>
            </w:r>
          </w:p>
        </w:tc>
        <w:tc>
          <w:tcPr>
            <w:tcW w:w="487" w:type="pct"/>
            <w:shd w:val="clear" w:color="auto" w:fill="auto"/>
            <w:vAlign w:val="center"/>
          </w:tcPr>
          <w:p w14:paraId="6FCAF62F" w14:textId="77777777" w:rsidR="00320910" w:rsidRPr="00E84F7D" w:rsidRDefault="00320910" w:rsidP="008E6149">
            <w:pPr>
              <w:spacing w:after="0" w:line="240" w:lineRule="auto"/>
              <w:jc w:val="right"/>
              <w:rPr>
                <w:rFonts w:ascii="Calibri" w:hAnsi="Calibri" w:cs="Calibri"/>
                <w:color w:val="000000"/>
                <w:sz w:val="18"/>
                <w:szCs w:val="18"/>
                <w:lang w:val="it-IT"/>
              </w:rPr>
            </w:pPr>
            <w:r w:rsidRPr="00E84F7D">
              <w:rPr>
                <w:rFonts w:ascii="Calibri" w:hAnsi="Calibri" w:cs="Calibri"/>
                <w:color w:val="000000"/>
                <w:sz w:val="18"/>
                <w:szCs w:val="18"/>
                <w:lang w:val="it-IT"/>
              </w:rPr>
              <w:t>28</w:t>
            </w:r>
          </w:p>
        </w:tc>
        <w:tc>
          <w:tcPr>
            <w:tcW w:w="648" w:type="pct"/>
            <w:shd w:val="clear" w:color="auto" w:fill="auto"/>
            <w:vAlign w:val="center"/>
          </w:tcPr>
          <w:p w14:paraId="585354F8" w14:textId="28BA6557" w:rsidR="00320910" w:rsidRPr="00E84F7D" w:rsidRDefault="00320910" w:rsidP="008E6149">
            <w:pPr>
              <w:spacing w:after="0" w:line="240" w:lineRule="auto"/>
              <w:jc w:val="right"/>
              <w:rPr>
                <w:rFonts w:ascii="Calibri" w:hAnsi="Calibri" w:cs="Calibri"/>
                <w:color w:val="000000"/>
                <w:sz w:val="18"/>
                <w:szCs w:val="18"/>
                <w:lang w:val="it-IT"/>
              </w:rPr>
            </w:pPr>
            <w:r w:rsidRPr="00E84F7D">
              <w:rPr>
                <w:rFonts w:ascii="Calibri" w:hAnsi="Calibri" w:cs="Calibri"/>
                <w:color w:val="000000"/>
                <w:sz w:val="18"/>
                <w:szCs w:val="18"/>
                <w:lang w:val="it-IT"/>
              </w:rPr>
              <w:t>35</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459</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067</w:t>
            </w:r>
          </w:p>
        </w:tc>
        <w:tc>
          <w:tcPr>
            <w:tcW w:w="565" w:type="pct"/>
            <w:shd w:val="clear" w:color="auto" w:fill="auto"/>
            <w:vAlign w:val="center"/>
          </w:tcPr>
          <w:p w14:paraId="0FEF9D84" w14:textId="6E0D3BA7" w:rsidR="00320910" w:rsidRPr="00E84F7D" w:rsidRDefault="00320910" w:rsidP="008E6149">
            <w:pPr>
              <w:spacing w:after="0" w:line="240" w:lineRule="auto"/>
              <w:jc w:val="right"/>
              <w:rPr>
                <w:rFonts w:ascii="Calibri" w:hAnsi="Calibri" w:cs="Calibri"/>
                <w:color w:val="000000"/>
                <w:sz w:val="18"/>
                <w:szCs w:val="18"/>
                <w:lang w:val="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01</w:t>
            </w:r>
          </w:p>
        </w:tc>
        <w:tc>
          <w:tcPr>
            <w:tcW w:w="487" w:type="pct"/>
            <w:vAlign w:val="center"/>
          </w:tcPr>
          <w:p w14:paraId="767A883F" w14:textId="77777777" w:rsidR="00320910" w:rsidRPr="00E84F7D" w:rsidRDefault="00320910" w:rsidP="008E6149">
            <w:pPr>
              <w:spacing w:after="0" w:line="240" w:lineRule="auto"/>
              <w:jc w:val="right"/>
              <w:rPr>
                <w:rFonts w:ascii="Calibri" w:hAnsi="Calibri" w:cs="Calibri"/>
                <w:color w:val="000000"/>
                <w:sz w:val="18"/>
                <w:szCs w:val="18"/>
                <w:lang w:val="it-IT"/>
              </w:rPr>
            </w:pPr>
            <w:r w:rsidRPr="00E84F7D">
              <w:rPr>
                <w:rFonts w:ascii="Calibri" w:hAnsi="Calibri" w:cs="Calibri"/>
                <w:color w:val="000000"/>
                <w:sz w:val="18"/>
                <w:szCs w:val="18"/>
                <w:lang w:val="it-IT"/>
              </w:rPr>
              <w:t>14</w:t>
            </w:r>
          </w:p>
        </w:tc>
        <w:tc>
          <w:tcPr>
            <w:tcW w:w="648" w:type="pct"/>
            <w:vAlign w:val="center"/>
          </w:tcPr>
          <w:p w14:paraId="55C9DB09" w14:textId="52A44F41" w:rsidR="00320910" w:rsidRPr="00E84F7D" w:rsidRDefault="00320910" w:rsidP="008E6149">
            <w:pPr>
              <w:spacing w:after="0" w:line="240" w:lineRule="auto"/>
              <w:jc w:val="right"/>
              <w:rPr>
                <w:rFonts w:ascii="Calibri" w:hAnsi="Calibri" w:cs="Calibri"/>
                <w:color w:val="000000"/>
                <w:sz w:val="18"/>
                <w:szCs w:val="18"/>
                <w:lang w:val="it-IT"/>
              </w:rPr>
            </w:pPr>
            <w:r w:rsidRPr="00E84F7D">
              <w:rPr>
                <w:rFonts w:ascii="Calibri" w:hAnsi="Calibri" w:cs="Calibri"/>
                <w:color w:val="000000"/>
                <w:sz w:val="18"/>
                <w:szCs w:val="18"/>
                <w:lang w:val="it-IT"/>
              </w:rPr>
              <w:t>159</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424</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225</w:t>
            </w:r>
          </w:p>
        </w:tc>
        <w:tc>
          <w:tcPr>
            <w:tcW w:w="524" w:type="pct"/>
            <w:vAlign w:val="center"/>
          </w:tcPr>
          <w:p w14:paraId="3BE4D5BE" w14:textId="3D8F8718" w:rsidR="00320910" w:rsidRPr="00E84F7D" w:rsidRDefault="00320910" w:rsidP="008E6149">
            <w:pPr>
              <w:spacing w:after="0" w:line="240" w:lineRule="auto"/>
              <w:jc w:val="right"/>
              <w:rPr>
                <w:rFonts w:ascii="Calibri" w:hAnsi="Calibri" w:cs="Calibri"/>
                <w:color w:val="000000"/>
                <w:sz w:val="18"/>
                <w:szCs w:val="18"/>
                <w:lang w:val="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001</w:t>
            </w:r>
          </w:p>
        </w:tc>
      </w:tr>
      <w:tr w:rsidR="00320910" w:rsidRPr="00E84F7D" w14:paraId="1A4BF09D" w14:textId="77777777" w:rsidTr="008E6149">
        <w:trPr>
          <w:trHeight w:val="242"/>
        </w:trPr>
        <w:tc>
          <w:tcPr>
            <w:tcW w:w="1641" w:type="pct"/>
            <w:tcBorders>
              <w:bottom w:val="single" w:sz="4" w:space="0" w:color="auto"/>
            </w:tcBorders>
            <w:shd w:val="clear" w:color="auto" w:fill="auto"/>
            <w:noWrap/>
            <w:vAlign w:val="bottom"/>
          </w:tcPr>
          <w:p w14:paraId="7AB40035" w14:textId="77777777" w:rsidR="00320910" w:rsidRPr="00E84F7D" w:rsidRDefault="00320910" w:rsidP="008E6149">
            <w:pPr>
              <w:spacing w:after="0" w:line="240" w:lineRule="auto"/>
              <w:ind w:left="209"/>
              <w:rPr>
                <w:rFonts w:eastAsia="Times New Roman" w:cstheme="minorHAnsi"/>
                <w:strike/>
                <w:color w:val="000000" w:themeColor="text1"/>
                <w:sz w:val="18"/>
                <w:szCs w:val="18"/>
                <w:lang w:val="it-IT" w:eastAsia="it-IT"/>
              </w:rPr>
            </w:pPr>
            <w:r w:rsidRPr="00E84F7D">
              <w:rPr>
                <w:rFonts w:eastAsia="Times New Roman" w:cstheme="minorHAnsi"/>
                <w:color w:val="000000" w:themeColor="text1"/>
                <w:sz w:val="18"/>
                <w:szCs w:val="18"/>
                <w:lang w:val="it-IT" w:eastAsia="it-IT"/>
              </w:rPr>
              <w:t>Nessuna/non specificata</w:t>
            </w:r>
          </w:p>
        </w:tc>
        <w:tc>
          <w:tcPr>
            <w:tcW w:w="487" w:type="pct"/>
            <w:tcBorders>
              <w:bottom w:val="single" w:sz="4" w:space="0" w:color="auto"/>
            </w:tcBorders>
            <w:shd w:val="clear" w:color="auto" w:fill="auto"/>
            <w:vAlign w:val="center"/>
          </w:tcPr>
          <w:p w14:paraId="6678FB45" w14:textId="049A9641" w:rsidR="00320910" w:rsidRPr="00E84F7D" w:rsidRDefault="00320910" w:rsidP="008E6149">
            <w:pPr>
              <w:spacing w:after="0" w:line="240" w:lineRule="auto"/>
              <w:jc w:val="right"/>
              <w:rPr>
                <w:rFonts w:ascii="Calibri" w:hAnsi="Calibri" w:cs="Calibri"/>
                <w:strike/>
                <w:color w:val="000000"/>
                <w:sz w:val="18"/>
                <w:szCs w:val="18"/>
                <w:lang w:val="it-IT"/>
              </w:rPr>
            </w:pPr>
            <w:r w:rsidRPr="00E84F7D">
              <w:rPr>
                <w:rFonts w:ascii="Calibri" w:hAnsi="Calibri" w:cs="Calibri"/>
                <w:color w:val="000000"/>
                <w:sz w:val="18"/>
                <w:szCs w:val="18"/>
                <w:lang w:val="it-IT"/>
              </w:rPr>
              <w:t>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205</w:t>
            </w:r>
          </w:p>
        </w:tc>
        <w:tc>
          <w:tcPr>
            <w:tcW w:w="648" w:type="pct"/>
            <w:tcBorders>
              <w:bottom w:val="single" w:sz="4" w:space="0" w:color="auto"/>
            </w:tcBorders>
            <w:shd w:val="clear" w:color="auto" w:fill="auto"/>
            <w:vAlign w:val="center"/>
          </w:tcPr>
          <w:p w14:paraId="4A4C7662" w14:textId="2A5DAB4B" w:rsidR="00320910" w:rsidRPr="00E84F7D" w:rsidRDefault="00320910" w:rsidP="008E6149">
            <w:pPr>
              <w:spacing w:after="0" w:line="240" w:lineRule="auto"/>
              <w:jc w:val="right"/>
              <w:rPr>
                <w:rFonts w:ascii="Calibri" w:hAnsi="Calibri" w:cs="Calibri"/>
                <w:strike/>
                <w:color w:val="000000"/>
                <w:sz w:val="18"/>
                <w:szCs w:val="18"/>
                <w:lang w:val="it-IT"/>
              </w:rPr>
            </w:pPr>
            <w:r w:rsidRPr="00E84F7D">
              <w:rPr>
                <w:rFonts w:ascii="Calibri" w:hAnsi="Calibri" w:cs="Calibri"/>
                <w:color w:val="000000"/>
                <w:sz w:val="18"/>
                <w:szCs w:val="18"/>
                <w:lang w:val="it-IT"/>
              </w:rPr>
              <w:t>249</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701</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058</w:t>
            </w:r>
          </w:p>
        </w:tc>
        <w:tc>
          <w:tcPr>
            <w:tcW w:w="565" w:type="pct"/>
            <w:tcBorders>
              <w:bottom w:val="single" w:sz="4" w:space="0" w:color="auto"/>
            </w:tcBorders>
            <w:shd w:val="clear" w:color="auto" w:fill="auto"/>
            <w:vAlign w:val="center"/>
          </w:tcPr>
          <w:p w14:paraId="72667227" w14:textId="40B2EB5E" w:rsidR="00320910" w:rsidRPr="00E84F7D" w:rsidRDefault="00320910" w:rsidP="008E6149">
            <w:pPr>
              <w:spacing w:after="0" w:line="240" w:lineRule="auto"/>
              <w:jc w:val="right"/>
              <w:rPr>
                <w:rFonts w:ascii="Calibri" w:hAnsi="Calibri" w:cs="Calibri"/>
                <w:strike/>
                <w:color w:val="000000"/>
                <w:sz w:val="18"/>
                <w:szCs w:val="18"/>
                <w:lang w:val="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05</w:t>
            </w:r>
          </w:p>
        </w:tc>
        <w:tc>
          <w:tcPr>
            <w:tcW w:w="487" w:type="pct"/>
            <w:tcBorders>
              <w:bottom w:val="single" w:sz="4" w:space="0" w:color="auto"/>
            </w:tcBorders>
            <w:vAlign w:val="center"/>
          </w:tcPr>
          <w:p w14:paraId="5F36393A" w14:textId="77777777" w:rsidR="00320910" w:rsidRPr="0035778B" w:rsidRDefault="00320910" w:rsidP="008E6149">
            <w:pPr>
              <w:spacing w:after="0" w:line="240" w:lineRule="auto"/>
              <w:jc w:val="right"/>
              <w:rPr>
                <w:rFonts w:ascii="Calibri" w:hAnsi="Calibri" w:cs="Calibri"/>
                <w:color w:val="000000"/>
                <w:sz w:val="18"/>
                <w:szCs w:val="18"/>
                <w:lang w:val="it-IT"/>
              </w:rPr>
            </w:pPr>
            <w:r w:rsidRPr="0035778B">
              <w:rPr>
                <w:rFonts w:ascii="Calibri" w:hAnsi="Calibri" w:cs="Calibri"/>
                <w:color w:val="000000"/>
                <w:sz w:val="18"/>
                <w:szCs w:val="18"/>
                <w:lang w:val="it-IT"/>
              </w:rPr>
              <w:t>484</w:t>
            </w:r>
          </w:p>
        </w:tc>
        <w:tc>
          <w:tcPr>
            <w:tcW w:w="648" w:type="pct"/>
            <w:tcBorders>
              <w:bottom w:val="single" w:sz="4" w:space="0" w:color="auto"/>
            </w:tcBorders>
            <w:vAlign w:val="center"/>
          </w:tcPr>
          <w:p w14:paraId="3E3E5809" w14:textId="2CF84EB9" w:rsidR="00320910" w:rsidRPr="0035778B" w:rsidRDefault="00320910" w:rsidP="008E6149">
            <w:pPr>
              <w:spacing w:after="0" w:line="240" w:lineRule="auto"/>
              <w:jc w:val="right"/>
              <w:rPr>
                <w:rFonts w:ascii="Calibri" w:hAnsi="Calibri" w:cs="Calibri"/>
                <w:color w:val="000000"/>
                <w:sz w:val="18"/>
                <w:szCs w:val="18"/>
                <w:lang w:val="it-IT"/>
              </w:rPr>
            </w:pPr>
            <w:r w:rsidRPr="0035778B">
              <w:rPr>
                <w:rFonts w:ascii="Calibri" w:hAnsi="Calibri" w:cs="Calibri"/>
                <w:color w:val="000000"/>
                <w:sz w:val="18"/>
                <w:szCs w:val="18"/>
                <w:lang w:val="it-IT"/>
              </w:rPr>
              <w:t>686</w:t>
            </w:r>
            <w:r w:rsidR="0035778B">
              <w:rPr>
                <w:rFonts w:ascii="Calibri" w:hAnsi="Calibri" w:cs="Calibri"/>
                <w:color w:val="000000"/>
                <w:sz w:val="18"/>
                <w:szCs w:val="18"/>
                <w:lang w:val="it-IT"/>
              </w:rPr>
              <w:t>.</w:t>
            </w:r>
            <w:r w:rsidRPr="0035778B">
              <w:rPr>
                <w:rFonts w:ascii="Calibri" w:hAnsi="Calibri" w:cs="Calibri"/>
                <w:color w:val="000000"/>
                <w:sz w:val="18"/>
                <w:szCs w:val="18"/>
                <w:lang w:val="it-IT"/>
              </w:rPr>
              <w:t>150</w:t>
            </w:r>
            <w:r w:rsidR="0035778B">
              <w:rPr>
                <w:rFonts w:ascii="Calibri" w:hAnsi="Calibri" w:cs="Calibri"/>
                <w:color w:val="000000"/>
                <w:sz w:val="18"/>
                <w:szCs w:val="18"/>
                <w:lang w:val="it-IT"/>
              </w:rPr>
              <w:t>.</w:t>
            </w:r>
            <w:r w:rsidRPr="0035778B">
              <w:rPr>
                <w:rFonts w:ascii="Calibri" w:hAnsi="Calibri" w:cs="Calibri"/>
                <w:color w:val="000000"/>
                <w:sz w:val="18"/>
                <w:szCs w:val="18"/>
                <w:lang w:val="it-IT"/>
              </w:rPr>
              <w:t>836</w:t>
            </w:r>
          </w:p>
        </w:tc>
        <w:tc>
          <w:tcPr>
            <w:tcW w:w="524" w:type="pct"/>
            <w:tcBorders>
              <w:bottom w:val="single" w:sz="4" w:space="0" w:color="auto"/>
            </w:tcBorders>
            <w:vAlign w:val="center"/>
          </w:tcPr>
          <w:p w14:paraId="78C435AC" w14:textId="5162C072" w:rsidR="00320910" w:rsidRPr="00E84F7D" w:rsidRDefault="00320910" w:rsidP="008E6149">
            <w:pPr>
              <w:spacing w:after="0" w:line="240" w:lineRule="auto"/>
              <w:jc w:val="right"/>
              <w:rPr>
                <w:rFonts w:ascii="Calibri" w:hAnsi="Calibri" w:cs="Calibri"/>
                <w:color w:val="000000"/>
                <w:sz w:val="18"/>
                <w:szCs w:val="18"/>
                <w:lang w:val="it-IT"/>
              </w:rPr>
            </w:pPr>
            <w:r w:rsidRPr="00E84F7D">
              <w:rPr>
                <w:rFonts w:ascii="Calibri" w:hAnsi="Calibri" w:cs="Calibri"/>
                <w:color w:val="000000"/>
                <w:sz w:val="18"/>
                <w:szCs w:val="18"/>
                <w:lang w:val="it-IT"/>
              </w:rPr>
              <w:t>0</w:t>
            </w:r>
            <w:r w:rsidR="0035778B">
              <w:rPr>
                <w:rFonts w:ascii="Calibri" w:hAnsi="Calibri" w:cs="Calibri"/>
                <w:color w:val="000000"/>
                <w:sz w:val="18"/>
                <w:szCs w:val="18"/>
                <w:lang w:val="it-IT"/>
              </w:rPr>
              <w:t>.</w:t>
            </w:r>
            <w:r w:rsidRPr="00E84F7D">
              <w:rPr>
                <w:rFonts w:ascii="Calibri" w:hAnsi="Calibri" w:cs="Calibri"/>
                <w:color w:val="000000"/>
                <w:sz w:val="18"/>
                <w:szCs w:val="18"/>
                <w:lang w:val="it-IT"/>
              </w:rPr>
              <w:t>01</w:t>
            </w:r>
          </w:p>
        </w:tc>
      </w:tr>
    </w:tbl>
    <w:p w14:paraId="6E5A6484" w14:textId="2A88BB54" w:rsidR="00320910" w:rsidRPr="00E84F7D" w:rsidRDefault="00320910" w:rsidP="00320910">
      <w:pPr>
        <w:pStyle w:val="Testonotadichiusura"/>
        <w:spacing w:before="40"/>
        <w:ind w:left="360"/>
        <w:rPr>
          <w:rFonts w:eastAsia="Times New Roman" w:cstheme="minorHAnsi"/>
          <w:bCs/>
          <w:color w:val="000000" w:themeColor="text1"/>
          <w:sz w:val="18"/>
          <w:szCs w:val="18"/>
          <w:lang w:eastAsia="it-IT"/>
        </w:rPr>
      </w:pPr>
      <w:r>
        <w:rPr>
          <w:rFonts w:cstheme="minorHAnsi"/>
          <w:iCs/>
          <w:color w:val="000000" w:themeColor="text1"/>
        </w:rPr>
        <w:t>*</w:t>
      </w:r>
      <w:r w:rsidRPr="00FE5BA1">
        <w:rPr>
          <w:rFonts w:eastAsia="Times New Roman" w:cstheme="minorHAnsi"/>
          <w:bCs/>
          <w:color w:val="000000" w:themeColor="text1"/>
          <w:sz w:val="18"/>
          <w:szCs w:val="18"/>
          <w:lang w:eastAsia="it-IT"/>
        </w:rPr>
        <w:t xml:space="preserve">Numero di </w:t>
      </w:r>
      <w:r>
        <w:rPr>
          <w:rFonts w:eastAsia="Times New Roman" w:cstheme="minorHAnsi"/>
          <w:bCs/>
          <w:color w:val="000000" w:themeColor="text1"/>
          <w:sz w:val="18"/>
          <w:szCs w:val="18"/>
          <w:lang w:eastAsia="it-IT"/>
        </w:rPr>
        <w:t>decessi</w:t>
      </w:r>
      <w:r w:rsidRPr="00FE5BA1">
        <w:rPr>
          <w:rFonts w:eastAsia="Times New Roman" w:cstheme="minorHAnsi"/>
          <w:bCs/>
          <w:color w:val="000000" w:themeColor="text1"/>
          <w:sz w:val="18"/>
          <w:szCs w:val="18"/>
          <w:lang w:eastAsia="it-IT"/>
        </w:rPr>
        <w:t>/giorni</w:t>
      </w:r>
      <w:r w:rsidR="002A1FBD">
        <w:rPr>
          <w:rFonts w:eastAsia="Times New Roman" w:cstheme="minorHAnsi"/>
          <w:bCs/>
          <w:color w:val="000000" w:themeColor="text1"/>
          <w:sz w:val="18"/>
          <w:szCs w:val="18"/>
          <w:lang w:eastAsia="it-IT"/>
        </w:rPr>
        <w:t xml:space="preserve"> </w:t>
      </w:r>
      <w:r w:rsidRPr="00FE5BA1">
        <w:rPr>
          <w:rFonts w:eastAsia="Times New Roman" w:cstheme="minorHAnsi"/>
          <w:bCs/>
          <w:color w:val="000000" w:themeColor="text1"/>
          <w:sz w:val="18"/>
          <w:szCs w:val="18"/>
          <w:lang w:eastAsia="it-IT"/>
        </w:rPr>
        <w:t>persona</w:t>
      </w:r>
      <w:r w:rsidRPr="00E84F7D">
        <w:rPr>
          <w:rFonts w:eastAsia="Times New Roman" w:cstheme="minorHAnsi"/>
          <w:bCs/>
          <w:color w:val="000000" w:themeColor="text1"/>
          <w:sz w:val="18"/>
          <w:szCs w:val="18"/>
          <w:lang w:eastAsia="it-IT"/>
        </w:rPr>
        <w:t xml:space="preserve"> </w:t>
      </w:r>
    </w:p>
    <w:p w14:paraId="0E87A806" w14:textId="77777777" w:rsidR="006F751D" w:rsidRPr="00320910" w:rsidRDefault="006F751D" w:rsidP="006F751D">
      <w:pPr>
        <w:pStyle w:val="Testonotadichiusura"/>
        <w:spacing w:before="40"/>
        <w:ind w:left="360"/>
        <w:rPr>
          <w:rFonts w:eastAsia="Times New Roman" w:cstheme="minorHAnsi"/>
          <w:color w:val="000000" w:themeColor="text1"/>
          <w:sz w:val="18"/>
          <w:szCs w:val="18"/>
          <w:lang w:eastAsia="it-IT"/>
        </w:rPr>
      </w:pPr>
    </w:p>
    <w:p w14:paraId="0545A601" w14:textId="77777777" w:rsidR="006F751D" w:rsidRPr="00320910" w:rsidRDefault="006F751D" w:rsidP="006F751D">
      <w:pPr>
        <w:rPr>
          <w:lang w:val="it-IT"/>
        </w:rPr>
        <w:sectPr w:rsidR="006F751D" w:rsidRPr="00320910" w:rsidSect="00253AE8">
          <w:pgSz w:w="16838" w:h="11906" w:orient="landscape"/>
          <w:pgMar w:top="1134" w:right="1134" w:bottom="1134" w:left="1417" w:header="708" w:footer="708" w:gutter="0"/>
          <w:cols w:space="708"/>
          <w:docGrid w:linePitch="360"/>
        </w:sectPr>
      </w:pPr>
    </w:p>
    <w:p w14:paraId="107A22BE" w14:textId="0B48F862" w:rsidR="00777630" w:rsidRPr="00777630" w:rsidRDefault="002A1FBD" w:rsidP="00777630">
      <w:pPr>
        <w:jc w:val="both"/>
        <w:rPr>
          <w:lang w:val="it-IT"/>
        </w:rPr>
      </w:pPr>
      <w:r>
        <w:rPr>
          <w:lang w:val="it-IT"/>
        </w:rPr>
        <w:lastRenderedPageBreak/>
        <w:t xml:space="preserve">Si conferma </w:t>
      </w:r>
      <w:r w:rsidR="0000608A" w:rsidRPr="00901BF3">
        <w:rPr>
          <w:lang w:val="it-IT"/>
        </w:rPr>
        <w:t>la</w:t>
      </w:r>
      <w:r>
        <w:rPr>
          <w:lang w:val="it-IT"/>
        </w:rPr>
        <w:t xml:space="preserve"> </w:t>
      </w:r>
      <w:r w:rsidR="3B4FC4C5" w:rsidRPr="00BB7789">
        <w:rPr>
          <w:lang w:val="it-IT"/>
        </w:rPr>
        <w:t>riduzion</w:t>
      </w:r>
      <w:r>
        <w:rPr>
          <w:lang w:val="it-IT"/>
        </w:rPr>
        <w:t>e</w:t>
      </w:r>
      <w:r w:rsidR="3B4FC4C5" w:rsidRPr="00BB7789">
        <w:rPr>
          <w:lang w:val="it-IT"/>
        </w:rPr>
        <w:t xml:space="preserve"> dei tassi di incidenza per la diagnosi di COVID-19 e per gli altri esiti analizzati e</w:t>
      </w:r>
      <w:r>
        <w:rPr>
          <w:lang w:val="it-IT"/>
        </w:rPr>
        <w:t xml:space="preserve">d emergono </w:t>
      </w:r>
      <w:r w:rsidR="3B4FC4C5" w:rsidRPr="00BB7789">
        <w:rPr>
          <w:lang w:val="it-IT"/>
        </w:rPr>
        <w:t>differenze più ampie</w:t>
      </w:r>
      <w:r w:rsidR="54B3991F" w:rsidRPr="3B552F96">
        <w:rPr>
          <w:lang w:val="it-IT"/>
        </w:rPr>
        <w:t xml:space="preserve"> </w:t>
      </w:r>
      <w:r w:rsidR="00EA6170">
        <w:rPr>
          <w:lang w:val="it-IT"/>
        </w:rPr>
        <w:t>tra</w:t>
      </w:r>
      <w:r w:rsidR="3B4FC4C5" w:rsidRPr="00BB7789">
        <w:rPr>
          <w:lang w:val="it-IT"/>
        </w:rPr>
        <w:t xml:space="preserve"> i </w:t>
      </w:r>
      <w:r w:rsidR="00EA6170" w:rsidRPr="00BB7789">
        <w:rPr>
          <w:lang w:val="it-IT"/>
        </w:rPr>
        <w:t>tass</w:t>
      </w:r>
      <w:r w:rsidR="00EA6170">
        <w:rPr>
          <w:lang w:val="it-IT"/>
        </w:rPr>
        <w:t>i</w:t>
      </w:r>
      <w:r w:rsidR="00EA6170" w:rsidRPr="00BB7789">
        <w:rPr>
          <w:lang w:val="it-IT"/>
        </w:rPr>
        <w:t xml:space="preserve"> </w:t>
      </w:r>
      <w:r w:rsidR="3B4FC4C5" w:rsidRPr="00BB7789">
        <w:rPr>
          <w:lang w:val="it-IT"/>
        </w:rPr>
        <w:t xml:space="preserve">di incidenza </w:t>
      </w:r>
      <w:r w:rsidR="00EA6170" w:rsidRPr="00BB7789">
        <w:rPr>
          <w:lang w:val="it-IT"/>
        </w:rPr>
        <w:t>rilevat</w:t>
      </w:r>
      <w:r w:rsidR="00EA6170">
        <w:rPr>
          <w:lang w:val="it-IT"/>
        </w:rPr>
        <w:t>i</w:t>
      </w:r>
      <w:r w:rsidR="00EA6170" w:rsidRPr="00BB7789">
        <w:rPr>
          <w:lang w:val="it-IT"/>
        </w:rPr>
        <w:t xml:space="preserve"> </w:t>
      </w:r>
      <w:r w:rsidR="3B4FC4C5" w:rsidRPr="00BB7789">
        <w:rPr>
          <w:lang w:val="it-IT"/>
        </w:rPr>
        <w:t xml:space="preserve">a partire da 14 giorni dopo la seconda dose </w:t>
      </w:r>
      <w:r w:rsidR="00EA6170">
        <w:rPr>
          <w:lang w:val="it-IT"/>
        </w:rPr>
        <w:t>e i</w:t>
      </w:r>
      <w:r w:rsidR="3B4FC4C5" w:rsidRPr="00BB7789">
        <w:rPr>
          <w:lang w:val="it-IT"/>
        </w:rPr>
        <w:t xml:space="preserve"> </w:t>
      </w:r>
      <w:r w:rsidR="00EA6170" w:rsidRPr="00BB7789">
        <w:rPr>
          <w:lang w:val="it-IT"/>
        </w:rPr>
        <w:t>tass</w:t>
      </w:r>
      <w:r w:rsidR="00EA6170">
        <w:rPr>
          <w:lang w:val="it-IT"/>
        </w:rPr>
        <w:t>i</w:t>
      </w:r>
      <w:r w:rsidR="00EA6170" w:rsidRPr="00BB7789">
        <w:rPr>
          <w:lang w:val="it-IT"/>
        </w:rPr>
        <w:t xml:space="preserve"> </w:t>
      </w:r>
      <w:r w:rsidR="3B4FC4C5" w:rsidRPr="00BB7789">
        <w:rPr>
          <w:lang w:val="it-IT"/>
        </w:rPr>
        <w:t xml:space="preserve">di incidenza del periodo di riferimento (14 giorni dalla prima dose) (dati non </w:t>
      </w:r>
      <w:r w:rsidR="54B3991F" w:rsidRPr="09E242F4">
        <w:rPr>
          <w:lang w:val="it-IT"/>
        </w:rPr>
        <w:t>mostrat</w:t>
      </w:r>
      <w:r w:rsidR="725E1486" w:rsidRPr="09E242F4">
        <w:rPr>
          <w:lang w:val="it-IT"/>
        </w:rPr>
        <w:t>i</w:t>
      </w:r>
      <w:r w:rsidR="3B4FC4C5" w:rsidRPr="00BB7789">
        <w:rPr>
          <w:lang w:val="it-IT"/>
        </w:rPr>
        <w:t>).</w:t>
      </w:r>
    </w:p>
    <w:p w14:paraId="463A99A2" w14:textId="096D9096" w:rsidR="755D36E7" w:rsidRDefault="755D36E7" w:rsidP="13AE9AD8">
      <w:pPr>
        <w:jc w:val="both"/>
        <w:rPr>
          <w:lang w:val="it-IT"/>
        </w:rPr>
      </w:pPr>
      <w:r w:rsidRPr="57807457">
        <w:rPr>
          <w:lang w:val="it-IT"/>
        </w:rPr>
        <w:t xml:space="preserve">La </w:t>
      </w:r>
      <w:r w:rsidRPr="57807457">
        <w:rPr>
          <w:b/>
          <w:bCs/>
          <w:lang w:val="it-IT"/>
        </w:rPr>
        <w:t>Figura 5</w:t>
      </w:r>
      <w:r w:rsidRPr="57807457">
        <w:rPr>
          <w:lang w:val="it-IT"/>
        </w:rPr>
        <w:t xml:space="preserve"> mostra </w:t>
      </w:r>
      <w:r w:rsidR="34DAF87D" w:rsidRPr="57807457">
        <w:rPr>
          <w:lang w:val="it-IT"/>
        </w:rPr>
        <w:t>i risultati delle analisi</w:t>
      </w:r>
      <w:r w:rsidRPr="57807457">
        <w:rPr>
          <w:lang w:val="it-IT"/>
        </w:rPr>
        <w:t xml:space="preserve"> multivariat</w:t>
      </w:r>
      <w:r w:rsidR="51E7EB5D" w:rsidRPr="57807457">
        <w:rPr>
          <w:lang w:val="it-IT"/>
        </w:rPr>
        <w:t>e condotte utilizzando il modello binomiale negativo per la stima</w:t>
      </w:r>
      <w:r w:rsidRPr="57807457">
        <w:rPr>
          <w:lang w:val="it-IT"/>
        </w:rPr>
        <w:t xml:space="preserve"> del rapporto di tassi di incidenza </w:t>
      </w:r>
      <w:r w:rsidR="45BAD137" w:rsidRPr="57807457">
        <w:rPr>
          <w:lang w:val="it-IT"/>
        </w:rPr>
        <w:t xml:space="preserve">“aggiustato” </w:t>
      </w:r>
      <w:r w:rsidRPr="57807457">
        <w:rPr>
          <w:lang w:val="it-IT"/>
        </w:rPr>
        <w:t xml:space="preserve">(IRR) di diagnosi, </w:t>
      </w:r>
      <w:r w:rsidR="7A43018B" w:rsidRPr="57807457">
        <w:rPr>
          <w:lang w:val="it-IT"/>
        </w:rPr>
        <w:t>ricovero</w:t>
      </w:r>
      <w:r w:rsidRPr="57807457">
        <w:rPr>
          <w:lang w:val="it-IT"/>
        </w:rPr>
        <w:t xml:space="preserve">, </w:t>
      </w:r>
      <w:r w:rsidR="002A1FBD">
        <w:rPr>
          <w:lang w:val="it-IT"/>
        </w:rPr>
        <w:t>ricovero</w:t>
      </w:r>
      <w:r w:rsidR="002A1FBD" w:rsidRPr="57807457">
        <w:rPr>
          <w:lang w:val="it-IT"/>
        </w:rPr>
        <w:t xml:space="preserve"> </w:t>
      </w:r>
      <w:r w:rsidRPr="57807457">
        <w:rPr>
          <w:lang w:val="it-IT"/>
        </w:rPr>
        <w:t xml:space="preserve">in TI e decesso successivi a diagnosi di COVID-19. Le stime si riferiscono ai tassi di incidenza osservati </w:t>
      </w:r>
      <w:r w:rsidR="26ADD102" w:rsidRPr="57807457">
        <w:rPr>
          <w:lang w:val="it-IT"/>
        </w:rPr>
        <w:t>in</w:t>
      </w:r>
      <w:r w:rsidRPr="57807457">
        <w:rPr>
          <w:lang w:val="it-IT"/>
        </w:rPr>
        <w:t xml:space="preserve"> diversi intervalli di tempo dalla somministrazione della seconda dose rispetto all’intervallo di tempo 0-14 giorni dalla somministrazione della </w:t>
      </w:r>
      <w:r w:rsidR="25759572" w:rsidRPr="57807457">
        <w:rPr>
          <w:lang w:val="it-IT"/>
        </w:rPr>
        <w:t>prima</w:t>
      </w:r>
      <w:r w:rsidRPr="57807457">
        <w:rPr>
          <w:lang w:val="it-IT"/>
        </w:rPr>
        <w:t xml:space="preserve"> dose assunto come periodo di riferimento.</w:t>
      </w:r>
    </w:p>
    <w:p w14:paraId="1BB55DA5" w14:textId="41D7ABFB" w:rsidR="003A6A29" w:rsidRPr="00694A2A" w:rsidRDefault="6CAB0304" w:rsidP="006F751D">
      <w:pPr>
        <w:jc w:val="both"/>
        <w:rPr>
          <w:lang w:val="it-IT"/>
        </w:rPr>
      </w:pPr>
      <w:r w:rsidRPr="40FE8F34">
        <w:rPr>
          <w:lang w:val="it-IT"/>
        </w:rPr>
        <w:t xml:space="preserve">Si osserva che, in riferimento all’intera popolazione in studio e al periodo in studio, i valori delle stime aggiustate dei rapporti di incidenza di diagnosi di COVID-19, </w:t>
      </w:r>
      <w:r w:rsidR="002A1FBD">
        <w:rPr>
          <w:lang w:val="it-IT"/>
        </w:rPr>
        <w:t>ricovero</w:t>
      </w:r>
      <w:r w:rsidRPr="40FE8F34">
        <w:rPr>
          <w:lang w:val="it-IT"/>
        </w:rPr>
        <w:t xml:space="preserve">, </w:t>
      </w:r>
      <w:r w:rsidR="002A1FBD">
        <w:rPr>
          <w:lang w:val="it-IT"/>
        </w:rPr>
        <w:t>ricovero</w:t>
      </w:r>
      <w:r w:rsidR="002A1FBD" w:rsidRPr="40FE8F34">
        <w:rPr>
          <w:lang w:val="it-IT"/>
        </w:rPr>
        <w:t xml:space="preserve"> </w:t>
      </w:r>
      <w:r w:rsidRPr="40FE8F34">
        <w:rPr>
          <w:lang w:val="it-IT"/>
        </w:rPr>
        <w:t xml:space="preserve">in TI e decesso successivi a diagnosi di COVID-19 diminuiscono rapidamente a partire dai 14 giorni successivi alla somministrazione della prima dose, si stabilizzano dopo 15-28 giorni dopo la seconda dose e raggiungono una efficacia protettiva dell’89% nei confronti della diagnosi a circa sette mesi dalla seconda dose. Si osserva invece, a sei mesi dalla seconda dose, un’efficacia protettiva </w:t>
      </w:r>
      <w:r w:rsidR="005B64B0" w:rsidRPr="40FE8F34">
        <w:rPr>
          <w:lang w:val="it-IT"/>
        </w:rPr>
        <w:t>dell’89%</w:t>
      </w:r>
      <w:r w:rsidR="005B64B0">
        <w:rPr>
          <w:lang w:val="it-IT"/>
        </w:rPr>
        <w:t xml:space="preserve"> per</w:t>
      </w:r>
      <w:r w:rsidRPr="40FE8F34">
        <w:rPr>
          <w:lang w:val="it-IT"/>
        </w:rPr>
        <w:t xml:space="preserve"> </w:t>
      </w:r>
      <w:r w:rsidR="270ADAD4" w:rsidRPr="2F890BC7">
        <w:rPr>
          <w:lang w:val="it-IT"/>
        </w:rPr>
        <w:t>ricovero</w:t>
      </w:r>
      <w:r w:rsidRPr="40FE8F34">
        <w:rPr>
          <w:lang w:val="it-IT"/>
        </w:rPr>
        <w:t xml:space="preserve"> e </w:t>
      </w:r>
      <w:r w:rsidR="002A1FBD">
        <w:rPr>
          <w:lang w:val="it-IT"/>
        </w:rPr>
        <w:t>ricovero</w:t>
      </w:r>
      <w:r w:rsidR="002A1FBD" w:rsidRPr="40FE8F34">
        <w:rPr>
          <w:lang w:val="it-IT"/>
        </w:rPr>
        <w:t xml:space="preserve"> </w:t>
      </w:r>
      <w:r w:rsidRPr="40FE8F34">
        <w:rPr>
          <w:lang w:val="it-IT"/>
        </w:rPr>
        <w:t xml:space="preserve">in TI e del 96% </w:t>
      </w:r>
      <w:r w:rsidR="001E03E6">
        <w:rPr>
          <w:lang w:val="it-IT"/>
        </w:rPr>
        <w:t>per i</w:t>
      </w:r>
      <w:r w:rsidRPr="40FE8F34">
        <w:rPr>
          <w:lang w:val="it-IT"/>
        </w:rPr>
        <w:t xml:space="preserve"> decessi.</w:t>
      </w:r>
    </w:p>
    <w:p w14:paraId="19070682" w14:textId="78CF8ACD" w:rsidR="00EA6170" w:rsidRDefault="006F751D" w:rsidP="57807457">
      <w:pPr>
        <w:jc w:val="both"/>
        <w:rPr>
          <w:lang w:val="it-IT"/>
        </w:rPr>
      </w:pPr>
      <w:r w:rsidRPr="008E6ABC">
        <w:rPr>
          <w:b/>
          <w:bCs/>
          <w:lang w:val="it-IT"/>
        </w:rPr>
        <w:t>Figur</w:t>
      </w:r>
      <w:r w:rsidR="60CAA8EE" w:rsidRPr="008E6ABC">
        <w:rPr>
          <w:b/>
          <w:bCs/>
          <w:lang w:val="it-IT"/>
        </w:rPr>
        <w:t>a</w:t>
      </w:r>
      <w:r w:rsidR="5505E06A" w:rsidRPr="008E6ABC">
        <w:rPr>
          <w:b/>
          <w:bCs/>
          <w:lang w:val="it-IT"/>
        </w:rPr>
        <w:t xml:space="preserve"> </w:t>
      </w:r>
      <w:r w:rsidR="60CAA8EE" w:rsidRPr="008E6ABC">
        <w:rPr>
          <w:b/>
          <w:bCs/>
          <w:lang w:val="it-IT"/>
        </w:rPr>
        <w:t>5</w:t>
      </w:r>
      <w:r w:rsidR="556A95E1" w:rsidRPr="008E6ABC">
        <w:rPr>
          <w:b/>
          <w:bCs/>
          <w:lang w:val="it-IT"/>
        </w:rPr>
        <w:t>.</w:t>
      </w:r>
      <w:r w:rsidR="60CAA8EE" w:rsidRPr="008E6ABC">
        <w:rPr>
          <w:b/>
          <w:bCs/>
          <w:lang w:val="it-IT"/>
        </w:rPr>
        <w:t xml:space="preserve"> </w:t>
      </w:r>
      <w:r w:rsidR="60CAA8EE" w:rsidRPr="00EA6170">
        <w:rPr>
          <w:bCs/>
          <w:lang w:val="it-IT"/>
        </w:rPr>
        <w:t>S</w:t>
      </w:r>
      <w:r w:rsidR="60CAA8EE" w:rsidRPr="008E6ABC">
        <w:rPr>
          <w:lang w:val="it-IT"/>
        </w:rPr>
        <w:t xml:space="preserve">time aggiustate del rapporto tra le incidenze (IRR) di </w:t>
      </w:r>
      <w:r w:rsidR="2BA31F4E" w:rsidRPr="008E6ABC">
        <w:rPr>
          <w:b/>
          <w:bCs/>
          <w:u w:val="single"/>
          <w:lang w:val="it-IT"/>
        </w:rPr>
        <w:t xml:space="preserve">qualsiasi </w:t>
      </w:r>
      <w:r w:rsidR="60CAA8EE" w:rsidRPr="008E6ABC">
        <w:rPr>
          <w:b/>
          <w:bCs/>
          <w:u w:val="single"/>
          <w:lang w:val="it-IT"/>
        </w:rPr>
        <w:t>diagnosi</w:t>
      </w:r>
      <w:r w:rsidR="60CAA8EE" w:rsidRPr="008E6ABC">
        <w:rPr>
          <w:lang w:val="it-IT"/>
        </w:rPr>
        <w:t xml:space="preserve"> </w:t>
      </w:r>
      <w:r w:rsidR="00912408" w:rsidRPr="008E6ABC">
        <w:rPr>
          <w:lang w:val="it-IT"/>
        </w:rPr>
        <w:t>COVID</w:t>
      </w:r>
      <w:r w:rsidR="00912408">
        <w:rPr>
          <w:lang w:val="it-IT"/>
        </w:rPr>
        <w:t>-</w:t>
      </w:r>
      <w:r w:rsidR="32C78C11" w:rsidRPr="008E6ABC">
        <w:rPr>
          <w:lang w:val="it-IT"/>
        </w:rPr>
        <w:t xml:space="preserve">19 </w:t>
      </w:r>
      <w:r w:rsidR="60CAA8EE" w:rsidRPr="008E6ABC">
        <w:rPr>
          <w:lang w:val="it-IT"/>
        </w:rPr>
        <w:t xml:space="preserve">e diagnosi con successivo </w:t>
      </w:r>
      <w:r w:rsidR="60CAA8EE" w:rsidRPr="008E6ABC">
        <w:rPr>
          <w:b/>
          <w:bCs/>
          <w:u w:val="single"/>
          <w:lang w:val="it-IT"/>
        </w:rPr>
        <w:t>ricovero</w:t>
      </w:r>
      <w:r w:rsidR="60CAA8EE" w:rsidRPr="008E6ABC">
        <w:rPr>
          <w:b/>
          <w:bCs/>
          <w:lang w:val="it-IT"/>
        </w:rPr>
        <w:t>,</w:t>
      </w:r>
      <w:r w:rsidR="60CAA8EE" w:rsidRPr="008E6ABC">
        <w:rPr>
          <w:lang w:val="it-IT"/>
        </w:rPr>
        <w:t xml:space="preserve"> </w:t>
      </w:r>
      <w:r w:rsidR="60CAA8EE" w:rsidRPr="008E6ABC">
        <w:rPr>
          <w:b/>
          <w:bCs/>
          <w:u w:val="single"/>
          <w:lang w:val="it-IT"/>
        </w:rPr>
        <w:t>ricovero in terapia intensiva</w:t>
      </w:r>
      <w:r w:rsidR="60CAA8EE" w:rsidRPr="008E6ABC">
        <w:rPr>
          <w:lang w:val="it-IT"/>
        </w:rPr>
        <w:t xml:space="preserve"> e </w:t>
      </w:r>
      <w:r w:rsidR="60CAA8EE" w:rsidRPr="008E6ABC">
        <w:rPr>
          <w:b/>
          <w:bCs/>
          <w:u w:val="single"/>
          <w:lang w:val="it-IT"/>
        </w:rPr>
        <w:t>decesso</w:t>
      </w:r>
      <w:r w:rsidR="60CAA8EE" w:rsidRPr="008E6ABC">
        <w:rPr>
          <w:b/>
          <w:bCs/>
          <w:lang w:val="it-IT"/>
        </w:rPr>
        <w:t xml:space="preserve"> </w:t>
      </w:r>
      <w:r w:rsidR="60CAA8EE" w:rsidRPr="008E6ABC">
        <w:rPr>
          <w:lang w:val="it-IT"/>
        </w:rPr>
        <w:t>a diversi intervalli di tempo dalla somministrazione della seconda dose nella popolazione complessiva vaccinata con Comirnarty o Spikevax (periodo di riferimento: 0-14 giorni</w:t>
      </w:r>
      <w:r w:rsidR="6A5D6DF7" w:rsidRPr="008E6ABC">
        <w:rPr>
          <w:lang w:val="it-IT"/>
        </w:rPr>
        <w:t xml:space="preserve"> dalla prima dose)</w:t>
      </w:r>
    </w:p>
    <w:p w14:paraId="3BA8AC42" w14:textId="37796092" w:rsidR="006F751D" w:rsidRPr="008E6ABC" w:rsidRDefault="00055A78" w:rsidP="57807457">
      <w:pPr>
        <w:jc w:val="both"/>
        <w:rPr>
          <w:lang w:val="it-IT"/>
        </w:rPr>
      </w:pPr>
      <w:r>
        <w:rPr>
          <w:noProof/>
          <w:lang w:val="it-IT" w:eastAsia="it-IT"/>
        </w:rPr>
        <w:drawing>
          <wp:inline distT="0" distB="0" distL="0" distR="0" wp14:anchorId="3D2901F5" wp14:editId="1D2DEA6B">
            <wp:extent cx="6349092" cy="3696582"/>
            <wp:effectExtent l="0" t="0" r="0" b="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1"/>
                    <pic:cNvPicPr/>
                  </pic:nvPicPr>
                  <pic:blipFill>
                    <a:blip r:embed="rId23">
                      <a:extLst>
                        <a:ext uri="{28A0092B-C50C-407E-A947-70E740481C1C}">
                          <a14:useLocalDpi xmlns:a14="http://schemas.microsoft.com/office/drawing/2010/main" val="0"/>
                        </a:ext>
                      </a:extLst>
                    </a:blip>
                    <a:stretch>
                      <a:fillRect/>
                    </a:stretch>
                  </pic:blipFill>
                  <pic:spPr>
                    <a:xfrm>
                      <a:off x="0" y="0"/>
                      <a:ext cx="6349092" cy="3696582"/>
                    </a:xfrm>
                    <a:prstGeom prst="rect">
                      <a:avLst/>
                    </a:prstGeom>
                  </pic:spPr>
                </pic:pic>
              </a:graphicData>
            </a:graphic>
          </wp:inline>
        </w:drawing>
      </w:r>
    </w:p>
    <w:p w14:paraId="5368A40A" w14:textId="77777777" w:rsidR="003A6A29" w:rsidRPr="008E6ABC" w:rsidRDefault="003A6A29">
      <w:pPr>
        <w:rPr>
          <w:lang w:val="it-IT"/>
        </w:rPr>
      </w:pPr>
      <w:r w:rsidRPr="008E6ABC">
        <w:rPr>
          <w:lang w:val="it-IT"/>
        </w:rPr>
        <w:br w:type="page"/>
      </w:r>
    </w:p>
    <w:p w14:paraId="550849AE" w14:textId="57FE7360" w:rsidR="003A6A29" w:rsidRPr="005D5D15" w:rsidRDefault="74DDF524" w:rsidP="3B552F96">
      <w:pPr>
        <w:jc w:val="both"/>
        <w:rPr>
          <w:lang w:val="it-IT"/>
        </w:rPr>
      </w:pPr>
      <w:r w:rsidRPr="005D5D15">
        <w:rPr>
          <w:lang w:val="it-IT"/>
        </w:rPr>
        <w:lastRenderedPageBreak/>
        <w:t xml:space="preserve">Un analogo andamento </w:t>
      </w:r>
      <w:r w:rsidR="00446C9C">
        <w:rPr>
          <w:lang w:val="it-IT"/>
        </w:rPr>
        <w:t xml:space="preserve">si </w:t>
      </w:r>
      <w:r w:rsidRPr="005D5D15">
        <w:rPr>
          <w:lang w:val="it-IT"/>
        </w:rPr>
        <w:t>osserva</w:t>
      </w:r>
      <w:r w:rsidR="00446C9C">
        <w:rPr>
          <w:lang w:val="it-IT"/>
        </w:rPr>
        <w:t xml:space="preserve"> </w:t>
      </w:r>
      <w:r w:rsidRPr="005D5D15">
        <w:rPr>
          <w:lang w:val="it-IT"/>
        </w:rPr>
        <w:t xml:space="preserve">nell’analisi stratificata per fasce d’età, con IRRs che raggiungono valori simili </w:t>
      </w:r>
      <w:r w:rsidR="139432BB" w:rsidRPr="005D5D15">
        <w:rPr>
          <w:lang w:val="it-IT"/>
        </w:rPr>
        <w:t>intorno allo</w:t>
      </w:r>
      <w:r w:rsidRPr="005D5D15">
        <w:rPr>
          <w:lang w:val="it-IT"/>
        </w:rPr>
        <w:t xml:space="preserve"> 0,10 in tutte le fasce di età al </w:t>
      </w:r>
      <w:r w:rsidR="4A54877B" w:rsidRPr="005D5D15">
        <w:rPr>
          <w:lang w:val="it-IT"/>
        </w:rPr>
        <w:t>di sotto</w:t>
      </w:r>
      <w:r w:rsidRPr="005D5D15">
        <w:rPr>
          <w:lang w:val="it-IT"/>
        </w:rPr>
        <w:t xml:space="preserve"> degli 80 anni a </w:t>
      </w:r>
      <w:r w:rsidR="421BFF73" w:rsidRPr="005D5D15">
        <w:rPr>
          <w:lang w:val="it-IT"/>
        </w:rPr>
        <w:t>sette</w:t>
      </w:r>
      <w:r w:rsidRPr="005D5D15">
        <w:rPr>
          <w:lang w:val="it-IT"/>
        </w:rPr>
        <w:t xml:space="preserve"> mesi dalla seconda dose (</w:t>
      </w:r>
      <w:r w:rsidRPr="69D29A78">
        <w:rPr>
          <w:b/>
          <w:bCs/>
          <w:lang w:val="it-IT"/>
        </w:rPr>
        <w:t>Figura 6</w:t>
      </w:r>
      <w:r w:rsidRPr="005D5D15">
        <w:rPr>
          <w:lang w:val="it-IT"/>
        </w:rPr>
        <w:t xml:space="preserve">). Un leggero incremento </w:t>
      </w:r>
      <w:r w:rsidRPr="2F890BC7">
        <w:rPr>
          <w:lang w:val="it-IT"/>
        </w:rPr>
        <w:t>dell’IRR</w:t>
      </w:r>
      <w:r w:rsidRPr="005D5D15">
        <w:rPr>
          <w:lang w:val="it-IT"/>
        </w:rPr>
        <w:t xml:space="preserve"> </w:t>
      </w:r>
      <w:r w:rsidR="00446C9C">
        <w:rPr>
          <w:lang w:val="it-IT"/>
        </w:rPr>
        <w:t xml:space="preserve">si </w:t>
      </w:r>
      <w:r w:rsidRPr="005D5D15">
        <w:rPr>
          <w:lang w:val="it-IT"/>
        </w:rPr>
        <w:t>osserva nelle persone di età ≥80 anni a partire da 187 giorni</w:t>
      </w:r>
      <w:r w:rsidR="00EA6170">
        <w:rPr>
          <w:lang w:val="it-IT"/>
        </w:rPr>
        <w:t xml:space="preserve"> e che raggiunge un valore di 0,</w:t>
      </w:r>
      <w:r w:rsidRPr="005D5D15">
        <w:rPr>
          <w:lang w:val="it-IT"/>
        </w:rPr>
        <w:t>16</w:t>
      </w:r>
      <w:r w:rsidR="00446C9C">
        <w:rPr>
          <w:lang w:val="it-IT"/>
        </w:rPr>
        <w:t>,</w:t>
      </w:r>
      <w:r w:rsidRPr="005D5D15">
        <w:rPr>
          <w:lang w:val="it-IT"/>
        </w:rPr>
        <w:t xml:space="preserve"> con un’efficacia protettiva dell’84% a 211-224 giorni a partire dalla seconda dose.</w:t>
      </w:r>
    </w:p>
    <w:p w14:paraId="5290C025" w14:textId="3FF1E584" w:rsidR="003A6A29" w:rsidRPr="005D5D15" w:rsidRDefault="003A6A29" w:rsidP="006F751D">
      <w:pPr>
        <w:jc w:val="both"/>
        <w:rPr>
          <w:b/>
          <w:lang w:val="it-IT"/>
        </w:rPr>
      </w:pPr>
    </w:p>
    <w:p w14:paraId="7108BD3E" w14:textId="3F817FAF" w:rsidR="006F751D" w:rsidRPr="008E6ABC" w:rsidRDefault="006F751D" w:rsidP="57807457">
      <w:pPr>
        <w:jc w:val="both"/>
        <w:rPr>
          <w:lang w:val="it-IT"/>
        </w:rPr>
      </w:pPr>
      <w:r w:rsidRPr="008E6ABC">
        <w:rPr>
          <w:b/>
          <w:bCs/>
          <w:lang w:val="it-IT"/>
        </w:rPr>
        <w:t>Figure</w:t>
      </w:r>
      <w:r w:rsidR="000B6259" w:rsidRPr="008E6ABC">
        <w:rPr>
          <w:b/>
          <w:bCs/>
          <w:lang w:val="it-IT"/>
        </w:rPr>
        <w:t>6</w:t>
      </w:r>
      <w:r w:rsidRPr="008E6ABC">
        <w:rPr>
          <w:lang w:val="it-IT"/>
        </w:rPr>
        <w:t>.</w:t>
      </w:r>
      <w:r w:rsidR="07C532B6" w:rsidRPr="008E6ABC">
        <w:rPr>
          <w:lang w:val="it-IT"/>
        </w:rPr>
        <w:t xml:space="preserve"> Stime aggiustate del rapporto tra le incidenze (IRR) di </w:t>
      </w:r>
      <w:r w:rsidR="07C532B6" w:rsidRPr="008E6ABC">
        <w:rPr>
          <w:b/>
          <w:bCs/>
          <w:u w:val="single"/>
          <w:lang w:val="it-IT"/>
        </w:rPr>
        <w:t xml:space="preserve">qualsiasi </w:t>
      </w:r>
      <w:r w:rsidR="00446C9C" w:rsidRPr="00446C9C">
        <w:rPr>
          <w:b/>
          <w:bCs/>
          <w:u w:val="single"/>
          <w:lang w:val="it-IT"/>
        </w:rPr>
        <w:t>diagnosi</w:t>
      </w:r>
      <w:r w:rsidR="00446C9C" w:rsidRPr="005E5379">
        <w:rPr>
          <w:b/>
          <w:bCs/>
          <w:u w:val="single"/>
          <w:lang w:val="it-IT"/>
        </w:rPr>
        <w:t xml:space="preserve"> di </w:t>
      </w:r>
      <w:r w:rsidR="07C532B6" w:rsidRPr="00446C9C">
        <w:rPr>
          <w:b/>
          <w:bCs/>
          <w:u w:val="single"/>
          <w:lang w:val="it-IT"/>
        </w:rPr>
        <w:t>COVID</w:t>
      </w:r>
      <w:r w:rsidR="07C532B6" w:rsidRPr="008E6ABC">
        <w:rPr>
          <w:b/>
          <w:bCs/>
          <w:u w:val="single"/>
          <w:lang w:val="it-IT"/>
        </w:rPr>
        <w:t xml:space="preserve">-19 </w:t>
      </w:r>
      <w:r w:rsidR="07C532B6" w:rsidRPr="008E6ABC">
        <w:rPr>
          <w:lang w:val="it-IT"/>
        </w:rPr>
        <w:t xml:space="preserve">dopo la seconda dose per </w:t>
      </w:r>
      <w:r w:rsidR="07C532B6" w:rsidRPr="008E6ABC">
        <w:rPr>
          <w:b/>
          <w:bCs/>
          <w:u w:val="single"/>
          <w:lang w:val="it-IT"/>
        </w:rPr>
        <w:t>classi di et</w:t>
      </w:r>
      <w:r w:rsidR="07C532B6" w:rsidRPr="005E5379">
        <w:rPr>
          <w:b/>
          <w:bCs/>
          <w:u w:val="single"/>
          <w:lang w:val="it-IT"/>
        </w:rPr>
        <w:t>à</w:t>
      </w:r>
      <w:r w:rsidR="07C532B6" w:rsidRPr="008E6ABC">
        <w:rPr>
          <w:b/>
          <w:bCs/>
          <w:lang w:val="it-IT"/>
        </w:rPr>
        <w:t xml:space="preserve"> </w:t>
      </w:r>
      <w:r w:rsidR="07C532B6" w:rsidRPr="008E6ABC">
        <w:rPr>
          <w:lang w:val="it-IT"/>
        </w:rPr>
        <w:t>(periodo di riferimento: 0-14 giorni dalla prima dose di Comirnarty o Spikevax)</w:t>
      </w:r>
    </w:p>
    <w:p w14:paraId="0FAF3F5C" w14:textId="4780C1F9" w:rsidR="006F751D" w:rsidRDefault="006F751D" w:rsidP="57807457">
      <w:pPr>
        <w:jc w:val="both"/>
        <w:rPr>
          <w:lang w:val="en-GB"/>
        </w:rPr>
      </w:pPr>
      <w:r w:rsidRPr="008E6ABC">
        <w:rPr>
          <w:lang w:val="it-IT"/>
        </w:rPr>
        <w:t xml:space="preserve"> </w:t>
      </w:r>
      <w:r w:rsidR="00724BB8">
        <w:rPr>
          <w:noProof/>
          <w:lang w:val="it-IT" w:eastAsia="it-IT"/>
        </w:rPr>
        <w:drawing>
          <wp:inline distT="0" distB="0" distL="0" distR="0" wp14:anchorId="037850B6" wp14:editId="55702849">
            <wp:extent cx="6490800" cy="3445200"/>
            <wp:effectExtent l="0" t="0" r="0" b="3175"/>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2"/>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490800" cy="3445200"/>
                    </a:xfrm>
                    <a:prstGeom prst="rect">
                      <a:avLst/>
                    </a:prstGeom>
                  </pic:spPr>
                </pic:pic>
              </a:graphicData>
            </a:graphic>
          </wp:inline>
        </w:drawing>
      </w:r>
    </w:p>
    <w:p w14:paraId="511E6E47" w14:textId="01FDDE6E" w:rsidR="006F751D" w:rsidRDefault="006F751D" w:rsidP="007B1BF1">
      <w:pPr>
        <w:jc w:val="center"/>
        <w:rPr>
          <w:lang w:val="en-GB"/>
        </w:rPr>
      </w:pPr>
    </w:p>
    <w:p w14:paraId="791C3B9B" w14:textId="77777777" w:rsidR="003A6A29" w:rsidRDefault="003A6A29">
      <w:pPr>
        <w:rPr>
          <w:b/>
          <w:bCs/>
          <w:lang w:val="en-GB"/>
        </w:rPr>
      </w:pPr>
      <w:r>
        <w:rPr>
          <w:b/>
          <w:bCs/>
          <w:lang w:val="en-GB"/>
        </w:rPr>
        <w:br w:type="page"/>
      </w:r>
    </w:p>
    <w:p w14:paraId="04172F94" w14:textId="660C3C68" w:rsidR="003A6A29" w:rsidRPr="00854170" w:rsidRDefault="24C0D14E" w:rsidP="2AAD7B48">
      <w:pPr>
        <w:jc w:val="both"/>
        <w:rPr>
          <w:lang w:val="it-IT"/>
        </w:rPr>
      </w:pPr>
      <w:r w:rsidRPr="00854170">
        <w:rPr>
          <w:lang w:val="it-IT"/>
        </w:rPr>
        <w:lastRenderedPageBreak/>
        <w:t xml:space="preserve">La </w:t>
      </w:r>
      <w:r w:rsidRPr="00854170">
        <w:rPr>
          <w:b/>
          <w:lang w:val="it-IT"/>
        </w:rPr>
        <w:t xml:space="preserve">Figura 7 </w:t>
      </w:r>
      <w:r w:rsidRPr="00854170">
        <w:rPr>
          <w:lang w:val="it-IT"/>
        </w:rPr>
        <w:t xml:space="preserve">presenta le stime di IRRs di diagnosi </w:t>
      </w:r>
      <w:r w:rsidR="00070FC0">
        <w:rPr>
          <w:lang w:val="it-IT"/>
        </w:rPr>
        <w:t>di COVID-19</w:t>
      </w:r>
      <w:r w:rsidRPr="00854170">
        <w:rPr>
          <w:lang w:val="it-IT"/>
        </w:rPr>
        <w:t xml:space="preserve"> per quelle categorie considerate prioritarie nella campagna vaccinale. Per quanto riguarda gli operatori sanitari, il rapporto dei tassi di incidenza diminuisce considerevolmente e raggiunge il valore di 0,06 a 211-224 giorni dalla somministrazione della seconda dose.</w:t>
      </w:r>
    </w:p>
    <w:p w14:paraId="52D2BC6A" w14:textId="7F665342" w:rsidR="2AAD7B48" w:rsidRPr="00854170" w:rsidRDefault="2AAD7B48" w:rsidP="2AAD7B48">
      <w:pPr>
        <w:jc w:val="both"/>
        <w:rPr>
          <w:b/>
          <w:lang w:val="it-IT"/>
        </w:rPr>
      </w:pPr>
    </w:p>
    <w:p w14:paraId="2BFFD8D3" w14:textId="42E77F8B" w:rsidR="006F751D" w:rsidRPr="008E6ABC" w:rsidRDefault="006F751D" w:rsidP="57807457">
      <w:pPr>
        <w:jc w:val="both"/>
        <w:rPr>
          <w:lang w:val="it-IT"/>
        </w:rPr>
      </w:pPr>
      <w:r w:rsidRPr="008E6ABC">
        <w:rPr>
          <w:b/>
          <w:bCs/>
          <w:lang w:val="it-IT"/>
        </w:rPr>
        <w:t xml:space="preserve">Figure </w:t>
      </w:r>
      <w:r w:rsidR="000B6259" w:rsidRPr="008E6ABC">
        <w:rPr>
          <w:b/>
          <w:bCs/>
          <w:lang w:val="it-IT"/>
        </w:rPr>
        <w:t>7</w:t>
      </w:r>
      <w:r w:rsidRPr="008E6ABC">
        <w:rPr>
          <w:lang w:val="it-IT"/>
        </w:rPr>
        <w:t xml:space="preserve">. </w:t>
      </w:r>
      <w:r w:rsidR="1A5A7066" w:rsidRPr="008E6ABC">
        <w:rPr>
          <w:lang w:val="it-IT"/>
        </w:rPr>
        <w:t xml:space="preserve">Stime aggiustate del rapporto tra le incidenze (IRR) di </w:t>
      </w:r>
      <w:r w:rsidR="1A5A7066" w:rsidRPr="008E6ABC">
        <w:rPr>
          <w:b/>
          <w:bCs/>
          <w:u w:val="single"/>
          <w:lang w:val="it-IT"/>
        </w:rPr>
        <w:t xml:space="preserve">qualsiasi </w:t>
      </w:r>
      <w:r w:rsidR="00070FC0" w:rsidRPr="00070FC0">
        <w:rPr>
          <w:b/>
          <w:bCs/>
          <w:u w:val="single"/>
          <w:lang w:val="it-IT"/>
        </w:rPr>
        <w:t>diagnosi</w:t>
      </w:r>
      <w:r w:rsidR="00070FC0" w:rsidRPr="005E5379">
        <w:rPr>
          <w:b/>
          <w:bCs/>
          <w:u w:val="single"/>
          <w:lang w:val="it-IT"/>
        </w:rPr>
        <w:t xml:space="preserve"> di </w:t>
      </w:r>
      <w:r w:rsidR="1A5A7066" w:rsidRPr="00070FC0">
        <w:rPr>
          <w:b/>
          <w:bCs/>
          <w:u w:val="single"/>
          <w:lang w:val="it-IT"/>
        </w:rPr>
        <w:t>COVID</w:t>
      </w:r>
      <w:r w:rsidR="1A5A7066" w:rsidRPr="008E6ABC">
        <w:rPr>
          <w:b/>
          <w:bCs/>
          <w:u w:val="single"/>
          <w:lang w:val="it-IT"/>
        </w:rPr>
        <w:t xml:space="preserve">-19 </w:t>
      </w:r>
      <w:r w:rsidR="1A5A7066" w:rsidRPr="008E6ABC">
        <w:rPr>
          <w:lang w:val="it-IT"/>
        </w:rPr>
        <w:t xml:space="preserve">dopo la seconda dose per </w:t>
      </w:r>
      <w:r w:rsidR="00070FC0">
        <w:rPr>
          <w:b/>
          <w:bCs/>
          <w:u w:val="single"/>
          <w:lang w:val="it-IT"/>
        </w:rPr>
        <w:t xml:space="preserve">categorie </w:t>
      </w:r>
      <w:r w:rsidR="1A5A7066" w:rsidRPr="008E6ABC">
        <w:rPr>
          <w:b/>
          <w:bCs/>
          <w:u w:val="single"/>
          <w:lang w:val="it-IT"/>
        </w:rPr>
        <w:t xml:space="preserve">prioritarie </w:t>
      </w:r>
      <w:r w:rsidR="00070FC0">
        <w:rPr>
          <w:b/>
          <w:bCs/>
          <w:u w:val="single"/>
          <w:lang w:val="it-IT"/>
        </w:rPr>
        <w:t xml:space="preserve">per la vaccinazione </w:t>
      </w:r>
      <w:r w:rsidR="1A5A7066" w:rsidRPr="008E6ABC">
        <w:rPr>
          <w:b/>
          <w:bCs/>
          <w:u w:val="single"/>
          <w:lang w:val="it-IT"/>
        </w:rPr>
        <w:t>mutuamente esclusive</w:t>
      </w:r>
      <w:r w:rsidR="6DD2B102" w:rsidRPr="008E6ABC">
        <w:rPr>
          <w:lang w:val="it-IT"/>
        </w:rPr>
        <w:t xml:space="preserve"> (periodo di riferimento: 0-14 giorni dalla prima dose di Comirnarty o Spikevax)</w:t>
      </w:r>
    </w:p>
    <w:p w14:paraId="2750C766" w14:textId="636B8A97" w:rsidR="006F751D" w:rsidRDefault="006F6CAD" w:rsidP="006F751D">
      <w:pPr>
        <w:rPr>
          <w:lang w:val="en-GB"/>
        </w:rPr>
      </w:pPr>
      <w:r>
        <w:rPr>
          <w:noProof/>
          <w:lang w:val="it-IT" w:eastAsia="it-IT"/>
        </w:rPr>
        <w:drawing>
          <wp:inline distT="0" distB="0" distL="0" distR="0" wp14:anchorId="79DCD131" wp14:editId="437FDC3F">
            <wp:extent cx="6548398" cy="3484800"/>
            <wp:effectExtent l="0" t="0" r="0" b="1905"/>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4"/>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548398" cy="3484800"/>
                    </a:xfrm>
                    <a:prstGeom prst="rect">
                      <a:avLst/>
                    </a:prstGeom>
                  </pic:spPr>
                </pic:pic>
              </a:graphicData>
            </a:graphic>
          </wp:inline>
        </w:drawing>
      </w:r>
    </w:p>
    <w:p w14:paraId="232BFD13" w14:textId="1F112071" w:rsidR="008550C5" w:rsidRDefault="008550C5" w:rsidP="006F751D">
      <w:pPr>
        <w:jc w:val="both"/>
        <w:rPr>
          <w:highlight w:val="yellow"/>
          <w:lang w:val="en-GB"/>
        </w:rPr>
      </w:pPr>
    </w:p>
    <w:p w14:paraId="6FFAE684" w14:textId="1702A9CE" w:rsidR="2F890BC7" w:rsidRDefault="2F890BC7" w:rsidP="2F890BC7">
      <w:pPr>
        <w:jc w:val="both"/>
        <w:rPr>
          <w:lang w:val="en-GB"/>
        </w:rPr>
      </w:pPr>
    </w:p>
    <w:p w14:paraId="505D52A4" w14:textId="32367C9F" w:rsidR="6BE890CF" w:rsidRPr="00B95F38" w:rsidRDefault="008E0D9A" w:rsidP="18A1092A">
      <w:pPr>
        <w:jc w:val="both"/>
        <w:rPr>
          <w:lang w:val="it-IT"/>
        </w:rPr>
      </w:pPr>
      <w:r>
        <w:rPr>
          <w:lang w:val="it-IT"/>
        </w:rPr>
        <w:t>Per gli ospiti delle</w:t>
      </w:r>
      <w:r w:rsidR="6BE890CF" w:rsidRPr="57807457">
        <w:rPr>
          <w:lang w:val="it-IT"/>
        </w:rPr>
        <w:t xml:space="preserve"> residenze sanitarie assistite, si rileva una rapida riduzione dei rapporti dei tassi di incidenza dopo la seconda dose fino a 15-28 giorni dalla sua somministrazione, periodo a partire dal quale i valori rimangono sostanzialmente costanti (IRR pari a circa 0,15) con un leggero </w:t>
      </w:r>
      <w:r w:rsidR="7599D3CD" w:rsidRPr="57807457">
        <w:rPr>
          <w:lang w:val="it-IT"/>
        </w:rPr>
        <w:t>aumento</w:t>
      </w:r>
      <w:r w:rsidR="6BE890CF" w:rsidRPr="57807457">
        <w:rPr>
          <w:lang w:val="it-IT"/>
        </w:rPr>
        <w:t xml:space="preserve"> osservato a sei mesi dalla seconda dose. </w:t>
      </w:r>
      <w:r w:rsidR="1F2F49E9" w:rsidRPr="57807457">
        <w:rPr>
          <w:lang w:val="it-IT"/>
        </w:rPr>
        <w:t>Per quanto riguarda le persone con comorbidità e immunocompromess</w:t>
      </w:r>
      <w:r w:rsidR="4081BA56" w:rsidRPr="57807457">
        <w:rPr>
          <w:lang w:val="it-IT"/>
        </w:rPr>
        <w:t>e</w:t>
      </w:r>
      <w:r w:rsidR="1F2F49E9" w:rsidRPr="57807457">
        <w:rPr>
          <w:lang w:val="it-IT"/>
        </w:rPr>
        <w:t>, dopo un iniziale d</w:t>
      </w:r>
      <w:r w:rsidR="53A111A5" w:rsidRPr="57807457">
        <w:rPr>
          <w:lang w:val="it-IT"/>
        </w:rPr>
        <w:t xml:space="preserve">iminuzione </w:t>
      </w:r>
      <w:r w:rsidR="1F2F49E9" w:rsidRPr="57807457">
        <w:rPr>
          <w:lang w:val="it-IT"/>
        </w:rPr>
        <w:t>dei rapporti di incidenza nei primi 15-28 giorni successivi alla somministrazione della seconda dose</w:t>
      </w:r>
      <w:r w:rsidR="00EA6170">
        <w:rPr>
          <w:lang w:val="it-IT"/>
        </w:rPr>
        <w:t>,</w:t>
      </w:r>
      <w:r w:rsidR="1F2F49E9" w:rsidRPr="57807457">
        <w:rPr>
          <w:lang w:val="it-IT"/>
        </w:rPr>
        <w:t xml:space="preserve"> si notano valori crescenti dei </w:t>
      </w:r>
      <w:r w:rsidR="285E167D" w:rsidRPr="57807457">
        <w:rPr>
          <w:lang w:val="it-IT"/>
        </w:rPr>
        <w:t>rapporti</w:t>
      </w:r>
      <w:r w:rsidR="218F27F5" w:rsidRPr="57807457">
        <w:rPr>
          <w:lang w:val="it-IT"/>
        </w:rPr>
        <w:t xml:space="preserve"> </w:t>
      </w:r>
      <w:r w:rsidR="285E167D" w:rsidRPr="57807457">
        <w:rPr>
          <w:lang w:val="it-IT"/>
        </w:rPr>
        <w:t>di</w:t>
      </w:r>
      <w:r w:rsidR="1F2F49E9" w:rsidRPr="57807457">
        <w:rPr>
          <w:lang w:val="it-IT"/>
        </w:rPr>
        <w:t xml:space="preserve"> incidenza. Nelle persone con comorbidità il rapporto di inciden</w:t>
      </w:r>
      <w:r w:rsidR="00EA6170">
        <w:rPr>
          <w:lang w:val="it-IT"/>
        </w:rPr>
        <w:t>za raggiunge un valore pari a 0,</w:t>
      </w:r>
      <w:r w:rsidR="1F2F49E9" w:rsidRPr="57807457">
        <w:rPr>
          <w:lang w:val="it-IT"/>
        </w:rPr>
        <w:t xml:space="preserve">48 a 141-224 giorni dalla seconda dose. </w:t>
      </w:r>
    </w:p>
    <w:p w14:paraId="13021214" w14:textId="05F4F950" w:rsidR="6BE890CF" w:rsidRPr="00B95F38" w:rsidRDefault="1F2F49E9" w:rsidP="18A1092A">
      <w:pPr>
        <w:jc w:val="both"/>
        <w:rPr>
          <w:lang w:val="it-IT"/>
        </w:rPr>
      </w:pPr>
      <w:r w:rsidRPr="57807457">
        <w:rPr>
          <w:lang w:val="it-IT"/>
        </w:rPr>
        <w:t>È importante sottolineare che le stime che riguardano i rapporti d</w:t>
      </w:r>
      <w:r w:rsidR="00EA6170">
        <w:rPr>
          <w:lang w:val="it-IT"/>
        </w:rPr>
        <w:t xml:space="preserve">i incidenza sia per le persone </w:t>
      </w:r>
      <w:r w:rsidRPr="57807457">
        <w:rPr>
          <w:lang w:val="it-IT"/>
        </w:rPr>
        <w:t xml:space="preserve">con comorbidità e, in maniera ancora più accentuata, per coloro che sono </w:t>
      </w:r>
      <w:r w:rsidR="0601364A" w:rsidRPr="57807457">
        <w:rPr>
          <w:lang w:val="it-IT"/>
        </w:rPr>
        <w:t xml:space="preserve">immunocompromessi </w:t>
      </w:r>
      <w:r w:rsidRPr="57807457">
        <w:rPr>
          <w:lang w:val="it-IT"/>
        </w:rPr>
        <w:t>presentano ampi intervalli di confidenza e sono dunque poco precise. Questo è imputabile al relativamente piccolo numero di persone inclu</w:t>
      </w:r>
      <w:r w:rsidR="00EA6170">
        <w:rPr>
          <w:lang w:val="it-IT"/>
        </w:rPr>
        <w:t>se in questi gruppi a rischio e</w:t>
      </w:r>
      <w:r w:rsidRPr="57807457">
        <w:rPr>
          <w:lang w:val="it-IT"/>
        </w:rPr>
        <w:t xml:space="preserve"> incluse tra gli esposti negli ultimi intervalli di tempo considerati.</w:t>
      </w:r>
    </w:p>
    <w:p w14:paraId="744F4904" w14:textId="6EC129B1" w:rsidR="5498FAE3" w:rsidRDefault="5498FAE3" w:rsidP="5498FAE3">
      <w:pPr>
        <w:jc w:val="both"/>
        <w:rPr>
          <w:highlight w:val="yellow"/>
          <w:lang w:val="it-IT"/>
        </w:rPr>
      </w:pPr>
    </w:p>
    <w:p w14:paraId="0F294D4D" w14:textId="77777777" w:rsidR="008550C5" w:rsidRPr="007D626D" w:rsidRDefault="008550C5">
      <w:pPr>
        <w:rPr>
          <w:lang w:val="it-IT"/>
        </w:rPr>
      </w:pPr>
      <w:r w:rsidRPr="007D626D">
        <w:rPr>
          <w:lang w:val="it-IT"/>
        </w:rPr>
        <w:br w:type="page"/>
      </w:r>
    </w:p>
    <w:p w14:paraId="58BA8468" w14:textId="39BF82AB" w:rsidR="008550C5" w:rsidRPr="00854170" w:rsidRDefault="008550C5" w:rsidP="54588BE8">
      <w:pPr>
        <w:jc w:val="both"/>
        <w:rPr>
          <w:lang w:val="it-IT"/>
        </w:rPr>
      </w:pPr>
    </w:p>
    <w:p w14:paraId="67C5C7DE" w14:textId="13303DDA" w:rsidR="006F751D" w:rsidRPr="008E6ABC" w:rsidRDefault="006F751D" w:rsidP="57807457">
      <w:pPr>
        <w:rPr>
          <w:lang w:val="it-IT"/>
        </w:rPr>
      </w:pPr>
      <w:r w:rsidRPr="008E6ABC">
        <w:rPr>
          <w:b/>
          <w:bCs/>
          <w:lang w:val="it-IT"/>
        </w:rPr>
        <w:t xml:space="preserve">Figure </w:t>
      </w:r>
      <w:r w:rsidR="3B25B3D9" w:rsidRPr="008E6ABC">
        <w:rPr>
          <w:b/>
          <w:bCs/>
          <w:lang w:val="it-IT"/>
        </w:rPr>
        <w:t>8</w:t>
      </w:r>
      <w:r w:rsidRPr="008E6ABC">
        <w:rPr>
          <w:lang w:val="it-IT"/>
        </w:rPr>
        <w:t xml:space="preserve">. </w:t>
      </w:r>
      <w:r w:rsidR="397955B5" w:rsidRPr="008E6ABC">
        <w:rPr>
          <w:lang w:val="it-IT"/>
        </w:rPr>
        <w:t xml:space="preserve">Stime aggiustate del rapporto tra le incidenze (IRR) di </w:t>
      </w:r>
      <w:r w:rsidR="145C7AE8" w:rsidRPr="008E6ABC">
        <w:rPr>
          <w:b/>
          <w:bCs/>
          <w:u w:val="single"/>
          <w:lang w:val="it-IT"/>
        </w:rPr>
        <w:t xml:space="preserve">qualsiasi </w:t>
      </w:r>
      <w:r w:rsidR="00382B4D" w:rsidRPr="00382B4D">
        <w:rPr>
          <w:b/>
          <w:bCs/>
          <w:u w:val="single"/>
          <w:lang w:val="it-IT"/>
        </w:rPr>
        <w:t>diagnosi</w:t>
      </w:r>
      <w:r w:rsidR="00382B4D" w:rsidRPr="005E5379">
        <w:rPr>
          <w:b/>
          <w:bCs/>
          <w:u w:val="single"/>
          <w:lang w:val="it-IT"/>
        </w:rPr>
        <w:t xml:space="preserve"> di </w:t>
      </w:r>
      <w:r w:rsidR="397955B5" w:rsidRPr="00382B4D">
        <w:rPr>
          <w:b/>
          <w:bCs/>
          <w:u w:val="single"/>
          <w:lang w:val="it-IT"/>
        </w:rPr>
        <w:t>COVID</w:t>
      </w:r>
      <w:r w:rsidR="397955B5" w:rsidRPr="008E6ABC">
        <w:rPr>
          <w:b/>
          <w:bCs/>
          <w:u w:val="single"/>
          <w:lang w:val="it-IT"/>
        </w:rPr>
        <w:t>-19</w:t>
      </w:r>
      <w:r w:rsidR="397955B5" w:rsidRPr="005E5379">
        <w:rPr>
          <w:b/>
          <w:bCs/>
          <w:lang w:val="it-IT"/>
        </w:rPr>
        <w:t xml:space="preserve"> </w:t>
      </w:r>
      <w:r w:rsidR="397955B5" w:rsidRPr="008E6ABC">
        <w:rPr>
          <w:lang w:val="it-IT"/>
        </w:rPr>
        <w:t>(sintomatica e asintomatica) dopo la seconda dose</w:t>
      </w:r>
      <w:r w:rsidR="19B40E5E" w:rsidRPr="008E6ABC">
        <w:rPr>
          <w:lang w:val="it-IT"/>
        </w:rPr>
        <w:t>,</w:t>
      </w:r>
      <w:r w:rsidR="397955B5" w:rsidRPr="008E6ABC">
        <w:rPr>
          <w:lang w:val="it-IT"/>
        </w:rPr>
        <w:t xml:space="preserve"> per </w:t>
      </w:r>
      <w:r w:rsidR="397955B5" w:rsidRPr="008E6ABC">
        <w:rPr>
          <w:b/>
          <w:bCs/>
          <w:u w:val="single"/>
          <w:lang w:val="it-IT"/>
        </w:rPr>
        <w:t>fase epidemica</w:t>
      </w:r>
      <w:r w:rsidR="397955B5" w:rsidRPr="008E6ABC">
        <w:rPr>
          <w:lang w:val="it-IT"/>
        </w:rPr>
        <w:t xml:space="preserve"> (periodo di riferimento: 0-14 giorni dalla prima dose di Comirnarty o Spikevax)</w:t>
      </w:r>
    </w:p>
    <w:p w14:paraId="29918609" w14:textId="5140B58C" w:rsidR="006F751D" w:rsidRDefault="00887064" w:rsidP="006F751D">
      <w:pPr>
        <w:rPr>
          <w:lang w:val="en-GB"/>
        </w:rPr>
      </w:pPr>
      <w:r>
        <w:rPr>
          <w:noProof/>
          <w:lang w:val="it-IT" w:eastAsia="it-IT"/>
        </w:rPr>
        <w:drawing>
          <wp:inline distT="0" distB="0" distL="0" distR="0" wp14:anchorId="03F8E469" wp14:editId="5EE81CA1">
            <wp:extent cx="6519600" cy="1954800"/>
            <wp:effectExtent l="0" t="0" r="0" b="0"/>
            <wp:docPr id="85" name="Immagin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19600" cy="1954800"/>
                    </a:xfrm>
                    <a:prstGeom prst="rect">
                      <a:avLst/>
                    </a:prstGeom>
                    <a:noFill/>
                  </pic:spPr>
                </pic:pic>
              </a:graphicData>
            </a:graphic>
          </wp:inline>
        </w:drawing>
      </w:r>
    </w:p>
    <w:p w14:paraId="575EA7BA" w14:textId="78D03BA9" w:rsidR="4D030660" w:rsidRPr="00854170" w:rsidRDefault="59EF2B14" w:rsidP="059B9FD5">
      <w:pPr>
        <w:jc w:val="both"/>
        <w:rPr>
          <w:lang w:val="it-IT"/>
        </w:rPr>
      </w:pPr>
      <w:r w:rsidRPr="57807457">
        <w:rPr>
          <w:lang w:val="it-IT"/>
        </w:rPr>
        <w:t xml:space="preserve">Nella </w:t>
      </w:r>
      <w:r w:rsidRPr="00EA6170">
        <w:rPr>
          <w:b/>
          <w:lang w:val="it-IT"/>
        </w:rPr>
        <w:t>Figura 8</w:t>
      </w:r>
      <w:r w:rsidRPr="57807457">
        <w:rPr>
          <w:lang w:val="it-IT"/>
        </w:rPr>
        <w:t xml:space="preserve"> è riportata l’analisi dell’efficacia vaccinale nel prevenire la diagnosi di COVID-19 (sintomatico e asintomatico) per </w:t>
      </w:r>
      <w:r w:rsidR="3F867FBF" w:rsidRPr="57807457">
        <w:rPr>
          <w:lang w:val="it-IT"/>
        </w:rPr>
        <w:t>le</w:t>
      </w:r>
      <w:r w:rsidR="14ABF56B" w:rsidRPr="57807457">
        <w:rPr>
          <w:lang w:val="it-IT"/>
        </w:rPr>
        <w:t xml:space="preserve"> </w:t>
      </w:r>
      <w:r w:rsidRPr="57807457">
        <w:rPr>
          <w:lang w:val="it-IT"/>
        </w:rPr>
        <w:t>due fas</w:t>
      </w:r>
      <w:r w:rsidR="09B9116A" w:rsidRPr="57807457">
        <w:rPr>
          <w:lang w:val="it-IT"/>
        </w:rPr>
        <w:t xml:space="preserve">i </w:t>
      </w:r>
      <w:r w:rsidRPr="57807457">
        <w:rPr>
          <w:lang w:val="it-IT"/>
        </w:rPr>
        <w:t xml:space="preserve">epidemiche distinte </w:t>
      </w:r>
      <w:r w:rsidR="005E5379">
        <w:rPr>
          <w:lang w:val="it-IT"/>
        </w:rPr>
        <w:t>in base alla</w:t>
      </w:r>
      <w:r w:rsidRPr="57807457">
        <w:rPr>
          <w:lang w:val="it-IT"/>
        </w:rPr>
        <w:t xml:space="preserve"> predominanza della variante alfa del virus SARS-CoV-2 (fase epidemica alfa, periodo dal 27/12/2020 al 13/06/2021) e della variante delta (fase epidemica delta 19/07/2021 to 29/08/2021). Nella fase epidemica alfa si osserva una costante riduzione dei rapporti di incidenze delle diagnosi a partire da 14 giorni dalla somministrazione della seconda dose</w:t>
      </w:r>
      <w:r w:rsidR="005E5379">
        <w:rPr>
          <w:lang w:val="it-IT"/>
        </w:rPr>
        <w:t xml:space="preserve">, mentre </w:t>
      </w:r>
      <w:r w:rsidRPr="57807457">
        <w:rPr>
          <w:lang w:val="it-IT"/>
        </w:rPr>
        <w:t xml:space="preserve">nella fase epidemica delta </w:t>
      </w:r>
      <w:r w:rsidR="005E5379">
        <w:rPr>
          <w:lang w:val="it-IT"/>
        </w:rPr>
        <w:t xml:space="preserve">si rileva </w:t>
      </w:r>
      <w:r w:rsidRPr="57807457">
        <w:rPr>
          <w:lang w:val="it-IT"/>
        </w:rPr>
        <w:t xml:space="preserve">un </w:t>
      </w:r>
      <w:r w:rsidR="1F9E01C8" w:rsidRPr="57807457">
        <w:rPr>
          <w:lang w:val="it-IT"/>
        </w:rPr>
        <w:t>aumento</w:t>
      </w:r>
      <w:r w:rsidRPr="57807457">
        <w:rPr>
          <w:lang w:val="it-IT"/>
        </w:rPr>
        <w:t xml:space="preserve"> dei rapporti di incidenza già da 29-42 giorni dalla seconda dose, così come atteso per la riconosciuta maggiore trasmissibilità della variante delta rispetto alla </w:t>
      </w:r>
      <w:r w:rsidR="454EA9A7" w:rsidRPr="57807457">
        <w:rPr>
          <w:lang w:val="it-IT"/>
        </w:rPr>
        <w:t xml:space="preserve">variante </w:t>
      </w:r>
      <w:r w:rsidRPr="57807457">
        <w:rPr>
          <w:lang w:val="it-IT"/>
        </w:rPr>
        <w:t xml:space="preserve">alfa. Non è stato possibile stimare i rapporti di incidenza per ricoveri, </w:t>
      </w:r>
      <w:r w:rsidR="005E5379">
        <w:rPr>
          <w:lang w:val="it-IT"/>
        </w:rPr>
        <w:t>ricovero</w:t>
      </w:r>
      <w:r w:rsidR="005E5379" w:rsidRPr="57807457">
        <w:rPr>
          <w:lang w:val="it-IT"/>
        </w:rPr>
        <w:t xml:space="preserve"> </w:t>
      </w:r>
      <w:r w:rsidRPr="57807457">
        <w:rPr>
          <w:lang w:val="it-IT"/>
        </w:rPr>
        <w:t>in TI e decessi associati alla diagnosi di COVID-19 nel corso della fase epidemica delta, in considerazione del breve periodo di osservazione che ha riguardato soprattutto il gruppo di confronto (il periodo di osservazione per questi esiti termina alla data del 1/8/2021 e considera solo le persone vaccinate prima del 19/7/2021)</w:t>
      </w:r>
    </w:p>
    <w:p w14:paraId="15495ACA" w14:textId="66F40C7A" w:rsidR="00FA3B3B" w:rsidRPr="00854170" w:rsidRDefault="23E9773B" w:rsidP="059B9FD5">
      <w:pPr>
        <w:jc w:val="both"/>
        <w:rPr>
          <w:lang w:val="it-IT"/>
        </w:rPr>
      </w:pPr>
      <w:r w:rsidRPr="57807457">
        <w:rPr>
          <w:lang w:val="it-IT"/>
        </w:rPr>
        <w:t>A</w:t>
      </w:r>
      <w:r w:rsidR="7C700C1D" w:rsidRPr="57807457">
        <w:rPr>
          <w:lang w:val="it-IT"/>
        </w:rPr>
        <w:t>nalisi analog</w:t>
      </w:r>
      <w:r w:rsidR="597B1273" w:rsidRPr="57807457">
        <w:rPr>
          <w:lang w:val="it-IT"/>
        </w:rPr>
        <w:t>he</w:t>
      </w:r>
      <w:r w:rsidR="7C700C1D" w:rsidRPr="57807457">
        <w:rPr>
          <w:lang w:val="it-IT"/>
        </w:rPr>
        <w:t xml:space="preserve"> a quelle presentate nella </w:t>
      </w:r>
      <w:r w:rsidR="7C700C1D" w:rsidRPr="57807457">
        <w:rPr>
          <w:b/>
          <w:bCs/>
          <w:lang w:val="it-IT"/>
        </w:rPr>
        <w:t>Figura 8</w:t>
      </w:r>
      <w:r w:rsidR="004069FF" w:rsidRPr="57807457">
        <w:rPr>
          <w:b/>
          <w:bCs/>
          <w:lang w:val="it-IT"/>
        </w:rPr>
        <w:t xml:space="preserve"> </w:t>
      </w:r>
      <w:r w:rsidR="004069FF" w:rsidRPr="57807457">
        <w:rPr>
          <w:lang w:val="it-IT"/>
        </w:rPr>
        <w:t>e</w:t>
      </w:r>
      <w:r w:rsidR="7C700C1D" w:rsidRPr="57807457">
        <w:rPr>
          <w:lang w:val="it-IT"/>
        </w:rPr>
        <w:t xml:space="preserve"> relative </w:t>
      </w:r>
      <w:r w:rsidR="19D0EA35" w:rsidRPr="57807457">
        <w:rPr>
          <w:lang w:val="it-IT"/>
        </w:rPr>
        <w:t>a ricovero/</w:t>
      </w:r>
      <w:r w:rsidR="005E5379">
        <w:rPr>
          <w:lang w:val="it-IT"/>
        </w:rPr>
        <w:t>ricovero</w:t>
      </w:r>
      <w:r w:rsidR="005E5379" w:rsidRPr="57807457">
        <w:rPr>
          <w:lang w:val="it-IT"/>
        </w:rPr>
        <w:t xml:space="preserve"> </w:t>
      </w:r>
      <w:r w:rsidR="19D0EA35" w:rsidRPr="57807457">
        <w:rPr>
          <w:lang w:val="it-IT"/>
        </w:rPr>
        <w:t xml:space="preserve">in TI/decesso associato a </w:t>
      </w:r>
      <w:r w:rsidR="7377D6C9" w:rsidRPr="57807457">
        <w:rPr>
          <w:lang w:val="it-IT"/>
        </w:rPr>
        <w:t xml:space="preserve">COVID-19 </w:t>
      </w:r>
      <w:r w:rsidR="3328A5E9" w:rsidRPr="57807457">
        <w:rPr>
          <w:lang w:val="it-IT"/>
        </w:rPr>
        <w:t>per fase epidemica</w:t>
      </w:r>
      <w:r w:rsidR="489984E0" w:rsidRPr="57807457">
        <w:rPr>
          <w:lang w:val="it-IT"/>
        </w:rPr>
        <w:t xml:space="preserve"> (</w:t>
      </w:r>
      <w:r w:rsidR="3328A5E9" w:rsidRPr="57807457">
        <w:rPr>
          <w:lang w:val="it-IT"/>
        </w:rPr>
        <w:t>variante alfa</w:t>
      </w:r>
      <w:r w:rsidR="2C0217DB" w:rsidRPr="57807457">
        <w:rPr>
          <w:lang w:val="it-IT"/>
        </w:rPr>
        <w:t>/</w:t>
      </w:r>
      <w:r w:rsidR="3328A5E9" w:rsidRPr="57807457">
        <w:rPr>
          <w:lang w:val="it-IT"/>
        </w:rPr>
        <w:t>delta</w:t>
      </w:r>
      <w:r w:rsidR="33448BC4" w:rsidRPr="57807457">
        <w:rPr>
          <w:lang w:val="it-IT"/>
        </w:rPr>
        <w:t>)</w:t>
      </w:r>
      <w:r w:rsidR="3328A5E9" w:rsidRPr="57807457">
        <w:rPr>
          <w:lang w:val="it-IT"/>
        </w:rPr>
        <w:t xml:space="preserve"> </w:t>
      </w:r>
      <w:r w:rsidR="571DB08F" w:rsidRPr="57807457">
        <w:rPr>
          <w:lang w:val="it-IT"/>
        </w:rPr>
        <w:t xml:space="preserve">non sono presentate </w:t>
      </w:r>
      <w:r w:rsidR="4C947307" w:rsidRPr="57807457">
        <w:rPr>
          <w:lang w:val="it-IT"/>
        </w:rPr>
        <w:t>nel presente report</w:t>
      </w:r>
      <w:r w:rsidR="50D3DA86" w:rsidRPr="57807457">
        <w:rPr>
          <w:lang w:val="it-IT"/>
        </w:rPr>
        <w:t>,</w:t>
      </w:r>
      <w:r w:rsidR="4C947307" w:rsidRPr="57807457">
        <w:rPr>
          <w:lang w:val="it-IT"/>
        </w:rPr>
        <w:t xml:space="preserve"> </w:t>
      </w:r>
      <w:r w:rsidR="00AD1A53" w:rsidRPr="57807457">
        <w:rPr>
          <w:lang w:val="it-IT"/>
        </w:rPr>
        <w:t>poich</w:t>
      </w:r>
      <w:r w:rsidR="66167168" w:rsidRPr="57807457">
        <w:rPr>
          <w:lang w:val="it-IT"/>
        </w:rPr>
        <w:t>é</w:t>
      </w:r>
      <w:r w:rsidR="10CC4996" w:rsidRPr="57807457">
        <w:rPr>
          <w:lang w:val="it-IT"/>
        </w:rPr>
        <w:t>,</w:t>
      </w:r>
      <w:r w:rsidR="00AD1A53" w:rsidRPr="57807457">
        <w:rPr>
          <w:lang w:val="it-IT"/>
        </w:rPr>
        <w:t xml:space="preserve"> come mostrato nella figura 1</w:t>
      </w:r>
      <w:r w:rsidR="40F89B86" w:rsidRPr="57807457">
        <w:rPr>
          <w:lang w:val="it-IT"/>
        </w:rPr>
        <w:t>,</w:t>
      </w:r>
      <w:r w:rsidR="00AD1A53" w:rsidRPr="57807457">
        <w:rPr>
          <w:lang w:val="it-IT"/>
        </w:rPr>
        <w:t xml:space="preserve"> il periodo di osservazione non è stato sufficiente </w:t>
      </w:r>
      <w:r w:rsidR="52A2D246" w:rsidRPr="57807457">
        <w:rPr>
          <w:lang w:val="it-IT"/>
        </w:rPr>
        <w:t>per quest</w:t>
      </w:r>
      <w:r w:rsidR="45E2F2C1" w:rsidRPr="57807457">
        <w:rPr>
          <w:lang w:val="it-IT"/>
        </w:rPr>
        <w:t>e tipologie di</w:t>
      </w:r>
      <w:r w:rsidR="52A2D246" w:rsidRPr="57807457">
        <w:rPr>
          <w:lang w:val="it-IT"/>
        </w:rPr>
        <w:t xml:space="preserve"> esiti che verranno invece considerat</w:t>
      </w:r>
      <w:r w:rsidR="2B19C358" w:rsidRPr="57807457">
        <w:rPr>
          <w:lang w:val="it-IT"/>
        </w:rPr>
        <w:t xml:space="preserve">e </w:t>
      </w:r>
      <w:r w:rsidR="52A2D246" w:rsidRPr="57807457">
        <w:rPr>
          <w:lang w:val="it-IT"/>
        </w:rPr>
        <w:t>nel prossimo report.</w:t>
      </w:r>
      <w:r w:rsidR="00C91238">
        <w:rPr>
          <w:lang w:val="it-IT"/>
        </w:rPr>
        <w:t xml:space="preserve"> </w:t>
      </w:r>
    </w:p>
    <w:p w14:paraId="03E59825" w14:textId="0E6B7417" w:rsidR="00FA3B3B" w:rsidRPr="00854170" w:rsidRDefault="1A225E54" w:rsidP="059B9FD5">
      <w:pPr>
        <w:jc w:val="both"/>
        <w:rPr>
          <w:lang w:val="it-IT"/>
        </w:rPr>
      </w:pPr>
      <w:r w:rsidRPr="57807457">
        <w:rPr>
          <w:lang w:val="it-IT"/>
        </w:rPr>
        <w:t xml:space="preserve">Un’ulteriore </w:t>
      </w:r>
      <w:r w:rsidR="7D08C652" w:rsidRPr="57807457">
        <w:rPr>
          <w:lang w:val="it-IT"/>
        </w:rPr>
        <w:t xml:space="preserve">analisi che </w:t>
      </w:r>
      <w:r w:rsidR="615FDD64" w:rsidRPr="57807457">
        <w:rPr>
          <w:lang w:val="it-IT"/>
        </w:rPr>
        <w:t>include</w:t>
      </w:r>
      <w:r w:rsidR="5367A6B7" w:rsidRPr="57807457">
        <w:rPr>
          <w:lang w:val="it-IT"/>
        </w:rPr>
        <w:t xml:space="preserve"> </w:t>
      </w:r>
      <w:r w:rsidR="7D08C652" w:rsidRPr="57807457">
        <w:rPr>
          <w:lang w:val="it-IT"/>
        </w:rPr>
        <w:t xml:space="preserve">coloro </w:t>
      </w:r>
      <w:r w:rsidR="05DC67FD" w:rsidRPr="57807457">
        <w:rPr>
          <w:lang w:val="it-IT"/>
        </w:rPr>
        <w:t>che hanno completato il ciclo vaccinale da più di 14 giorni</w:t>
      </w:r>
      <w:r w:rsidR="5260AD21" w:rsidRPr="57807457">
        <w:rPr>
          <w:lang w:val="it-IT"/>
        </w:rPr>
        <w:t xml:space="preserve"> mostra che </w:t>
      </w:r>
      <w:r w:rsidR="05DC67FD" w:rsidRPr="57807457">
        <w:rPr>
          <w:lang w:val="it-IT"/>
        </w:rPr>
        <w:t>l</w:t>
      </w:r>
      <w:r w:rsidR="008E6ABC">
        <w:rPr>
          <w:lang w:val="it-IT"/>
        </w:rPr>
        <w:t>’</w:t>
      </w:r>
      <w:r w:rsidR="05DC67FD" w:rsidRPr="57807457">
        <w:rPr>
          <w:lang w:val="it-IT"/>
        </w:rPr>
        <w:t xml:space="preserve">efficacia vaccinale nel prevenire qualsiasi diagnosi di COVID-19 nella fase epidemica alfa è pari all’85% mentre nella fase epidemica delta è pari al 67% </w:t>
      </w:r>
      <w:r w:rsidR="0DE06C6A" w:rsidRPr="57807457">
        <w:rPr>
          <w:lang w:val="it-IT"/>
        </w:rPr>
        <w:t>(</w:t>
      </w:r>
      <w:r w:rsidR="0DE06C6A" w:rsidRPr="57807457">
        <w:rPr>
          <w:b/>
          <w:bCs/>
          <w:lang w:val="it-IT"/>
        </w:rPr>
        <w:t>Figura 9</w:t>
      </w:r>
      <w:r w:rsidR="0DE06C6A" w:rsidRPr="57807457">
        <w:rPr>
          <w:lang w:val="it-IT"/>
        </w:rPr>
        <w:t>).</w:t>
      </w:r>
      <w:r w:rsidR="2BD7C434" w:rsidRPr="57807457">
        <w:rPr>
          <w:lang w:val="it-IT"/>
        </w:rPr>
        <w:t xml:space="preserve"> </w:t>
      </w:r>
      <w:r w:rsidR="005E5379">
        <w:rPr>
          <w:lang w:val="it-IT"/>
        </w:rPr>
        <w:t>Tuttavia</w:t>
      </w:r>
      <w:r w:rsidR="4718E661" w:rsidRPr="00C2118E">
        <w:rPr>
          <w:lang w:val="it-IT"/>
        </w:rPr>
        <w:t xml:space="preserve">, </w:t>
      </w:r>
      <w:r w:rsidR="7C1CCD6F" w:rsidRPr="00C2118E">
        <w:rPr>
          <w:lang w:val="it-IT"/>
        </w:rPr>
        <w:t xml:space="preserve">risultati preliminari suggeriscono che </w:t>
      </w:r>
      <w:r w:rsidR="48D2D23A" w:rsidRPr="00C2118E">
        <w:rPr>
          <w:lang w:val="it-IT"/>
        </w:rPr>
        <w:t xml:space="preserve">l’efficacia </w:t>
      </w:r>
      <w:r w:rsidR="005E5379">
        <w:rPr>
          <w:lang w:val="it-IT"/>
        </w:rPr>
        <w:t xml:space="preserve">preventiva (VE) </w:t>
      </w:r>
      <w:r w:rsidR="48D2D23A" w:rsidRPr="00C2118E">
        <w:rPr>
          <w:lang w:val="it-IT"/>
        </w:rPr>
        <w:t xml:space="preserve">nei confronti dei ricoveri rimane alta nella fase delta (VE=89% fase delta </w:t>
      </w:r>
      <w:r w:rsidR="48D2D23A" w:rsidRPr="00F13C87">
        <w:rPr>
          <w:i/>
          <w:lang w:val="it-IT"/>
        </w:rPr>
        <w:t>vs</w:t>
      </w:r>
      <w:r w:rsidR="48D2D23A" w:rsidRPr="00C2118E">
        <w:rPr>
          <w:lang w:val="it-IT"/>
        </w:rPr>
        <w:t xml:space="preserve"> </w:t>
      </w:r>
      <w:r w:rsidR="5ED7E615" w:rsidRPr="00C2118E">
        <w:rPr>
          <w:lang w:val="it-IT"/>
        </w:rPr>
        <w:t xml:space="preserve">VE= </w:t>
      </w:r>
      <w:r w:rsidR="008E6ABC" w:rsidRPr="00C2118E">
        <w:rPr>
          <w:lang w:val="it-IT"/>
        </w:rPr>
        <w:t xml:space="preserve">92% </w:t>
      </w:r>
      <w:r w:rsidR="48D2D23A" w:rsidRPr="00C2118E">
        <w:rPr>
          <w:lang w:val="it-IT"/>
        </w:rPr>
        <w:t>fase alfa)</w:t>
      </w:r>
      <w:r w:rsidR="7AFF364B" w:rsidRPr="00C2118E">
        <w:rPr>
          <w:lang w:val="it-IT"/>
        </w:rPr>
        <w:t>.</w:t>
      </w:r>
      <w:r w:rsidR="3F98CF88" w:rsidRPr="00C2118E">
        <w:rPr>
          <w:lang w:val="it-IT"/>
        </w:rPr>
        <w:t xml:space="preserve"> </w:t>
      </w:r>
      <w:r w:rsidR="6FFE851E" w:rsidRPr="00C2118E">
        <w:rPr>
          <w:lang w:val="it-IT"/>
        </w:rPr>
        <w:t>S</w:t>
      </w:r>
      <w:r w:rsidR="54A6AB7D" w:rsidRPr="00C2118E">
        <w:rPr>
          <w:lang w:val="it-IT"/>
        </w:rPr>
        <w:t>i tratt</w:t>
      </w:r>
      <w:r w:rsidR="5E9ACE0D" w:rsidRPr="00C2118E">
        <w:rPr>
          <w:lang w:val="it-IT"/>
        </w:rPr>
        <w:t xml:space="preserve">a </w:t>
      </w:r>
      <w:r w:rsidR="54A6AB7D" w:rsidRPr="00C2118E">
        <w:rPr>
          <w:lang w:val="it-IT"/>
        </w:rPr>
        <w:t xml:space="preserve">di un dato che va interpretato con cautela </w:t>
      </w:r>
      <w:r w:rsidR="041D6AA3" w:rsidRPr="00C2118E">
        <w:rPr>
          <w:lang w:val="it-IT"/>
        </w:rPr>
        <w:t>per l’incertezza delle stime</w:t>
      </w:r>
      <w:r w:rsidR="0B91F6BB" w:rsidRPr="00C2118E">
        <w:rPr>
          <w:lang w:val="it-IT"/>
        </w:rPr>
        <w:t xml:space="preserve"> </w:t>
      </w:r>
      <w:r w:rsidR="49D3A5D7" w:rsidRPr="00C2118E">
        <w:rPr>
          <w:lang w:val="it-IT"/>
        </w:rPr>
        <w:t>che necessita</w:t>
      </w:r>
      <w:r w:rsidR="161D8187" w:rsidRPr="00C2118E">
        <w:rPr>
          <w:lang w:val="it-IT"/>
        </w:rPr>
        <w:t>no</w:t>
      </w:r>
      <w:r w:rsidR="49D3A5D7" w:rsidRPr="00C2118E">
        <w:rPr>
          <w:lang w:val="it-IT"/>
        </w:rPr>
        <w:t xml:space="preserve"> di essere consolidat</w:t>
      </w:r>
      <w:r w:rsidR="4BF55E9B" w:rsidRPr="00C2118E">
        <w:rPr>
          <w:lang w:val="it-IT"/>
        </w:rPr>
        <w:t>e</w:t>
      </w:r>
      <w:r w:rsidR="49D3A5D7" w:rsidRPr="00C2118E">
        <w:rPr>
          <w:lang w:val="it-IT"/>
        </w:rPr>
        <w:t xml:space="preserve"> con period</w:t>
      </w:r>
      <w:r w:rsidR="4A735354" w:rsidRPr="00C2118E">
        <w:rPr>
          <w:lang w:val="it-IT"/>
        </w:rPr>
        <w:t>i</w:t>
      </w:r>
      <w:r w:rsidR="49D3A5D7" w:rsidRPr="00C2118E">
        <w:rPr>
          <w:lang w:val="it-IT"/>
        </w:rPr>
        <w:t xml:space="preserve"> più lunghi di osservazione</w:t>
      </w:r>
      <w:r w:rsidR="10D261AF" w:rsidRPr="00C2118E">
        <w:rPr>
          <w:lang w:val="it-IT"/>
        </w:rPr>
        <w:t xml:space="preserve"> </w:t>
      </w:r>
      <w:r w:rsidR="0B91F6BB" w:rsidRPr="00C2118E">
        <w:rPr>
          <w:lang w:val="it-IT"/>
        </w:rPr>
        <w:t>(</w:t>
      </w:r>
      <w:r w:rsidR="0B91F6BB" w:rsidRPr="00C2118E">
        <w:rPr>
          <w:b/>
          <w:bCs/>
          <w:lang w:val="it-IT"/>
        </w:rPr>
        <w:t>Figura 9</w:t>
      </w:r>
      <w:r w:rsidR="0B91F6BB" w:rsidRPr="00C2118E">
        <w:rPr>
          <w:lang w:val="it-IT"/>
        </w:rPr>
        <w:t>)</w:t>
      </w:r>
      <w:r w:rsidR="041D6AA3" w:rsidRPr="00C2118E">
        <w:rPr>
          <w:lang w:val="it-IT"/>
        </w:rPr>
        <w:t>.</w:t>
      </w:r>
      <w:r w:rsidR="00C91238">
        <w:rPr>
          <w:lang w:val="it-IT"/>
        </w:rPr>
        <w:t xml:space="preserve"> </w:t>
      </w:r>
      <w:r w:rsidR="00FA3B3B" w:rsidRPr="00C2118E">
        <w:rPr>
          <w:lang w:val="it-IT"/>
        </w:rPr>
        <w:t xml:space="preserve"> </w:t>
      </w:r>
    </w:p>
    <w:p w14:paraId="09CFCE7F" w14:textId="4BE07651" w:rsidR="00CB37D8" w:rsidRPr="00854170" w:rsidRDefault="00CB37D8" w:rsidP="059B9FD5">
      <w:pPr>
        <w:jc w:val="both"/>
        <w:rPr>
          <w:lang w:val="it-IT"/>
        </w:rPr>
      </w:pPr>
    </w:p>
    <w:p w14:paraId="04ADE128" w14:textId="77777777" w:rsidR="00157856" w:rsidRPr="008E6ABC" w:rsidRDefault="00157856">
      <w:pPr>
        <w:rPr>
          <w:b/>
          <w:bCs/>
          <w:lang w:val="it-IT"/>
        </w:rPr>
      </w:pPr>
      <w:r w:rsidRPr="008E6ABC">
        <w:rPr>
          <w:b/>
          <w:bCs/>
          <w:lang w:val="it-IT"/>
        </w:rPr>
        <w:br w:type="page"/>
      </w:r>
    </w:p>
    <w:p w14:paraId="075AA0B0" w14:textId="21665D1C" w:rsidR="00F47D33" w:rsidRPr="008E6ABC" w:rsidRDefault="00F47D33" w:rsidP="57807457">
      <w:pPr>
        <w:rPr>
          <w:lang w:val="it-IT"/>
        </w:rPr>
      </w:pPr>
      <w:r w:rsidRPr="008E6ABC">
        <w:rPr>
          <w:b/>
          <w:bCs/>
          <w:lang w:val="it-IT"/>
        </w:rPr>
        <w:lastRenderedPageBreak/>
        <w:t>Figure 9</w:t>
      </w:r>
      <w:r w:rsidRPr="008E6ABC">
        <w:rPr>
          <w:lang w:val="it-IT"/>
        </w:rPr>
        <w:t xml:space="preserve">. </w:t>
      </w:r>
      <w:r w:rsidR="01BEA756" w:rsidRPr="008E6ABC">
        <w:rPr>
          <w:lang w:val="it-IT"/>
        </w:rPr>
        <w:t xml:space="preserve">Stime aggiustate dell’efficacia vaccinale per la prevenzione di </w:t>
      </w:r>
      <w:r w:rsidR="01BEA756" w:rsidRPr="008E6ABC">
        <w:rPr>
          <w:b/>
          <w:bCs/>
          <w:u w:val="single"/>
          <w:lang w:val="it-IT"/>
        </w:rPr>
        <w:t xml:space="preserve">qualsiasi diagnosi </w:t>
      </w:r>
      <w:r w:rsidR="005E5379">
        <w:rPr>
          <w:b/>
          <w:bCs/>
          <w:u w:val="single"/>
          <w:lang w:val="it-IT"/>
        </w:rPr>
        <w:t xml:space="preserve">di </w:t>
      </w:r>
      <w:r w:rsidR="01BEA756" w:rsidRPr="008E6ABC">
        <w:rPr>
          <w:b/>
          <w:bCs/>
          <w:u w:val="single"/>
          <w:lang w:val="it-IT"/>
        </w:rPr>
        <w:t>COVID-19</w:t>
      </w:r>
      <w:r w:rsidR="01BEA756" w:rsidRPr="008E6ABC">
        <w:rPr>
          <w:lang w:val="it-IT"/>
        </w:rPr>
        <w:t xml:space="preserve"> (sintomatica e asintomatica) e </w:t>
      </w:r>
      <w:r w:rsidR="01BEA756" w:rsidRPr="008E6ABC">
        <w:rPr>
          <w:b/>
          <w:bCs/>
          <w:u w:val="single"/>
          <w:lang w:val="it-IT"/>
        </w:rPr>
        <w:t>ricovero successivo a diagnosi,</w:t>
      </w:r>
      <w:r w:rsidR="01BEA756" w:rsidRPr="008E6ABC">
        <w:rPr>
          <w:lang w:val="it-IT"/>
        </w:rPr>
        <w:t xml:space="preserve"> dopo ciclo vaccinale completo (&gt;14 giorni dalla somministrazione della seconda dose) </w:t>
      </w:r>
      <w:r w:rsidR="01BEA756" w:rsidRPr="008E6ABC">
        <w:rPr>
          <w:b/>
          <w:bCs/>
          <w:u w:val="single"/>
          <w:lang w:val="it-IT"/>
        </w:rPr>
        <w:t>per fase epidemica</w:t>
      </w:r>
      <w:r w:rsidR="01BEA756" w:rsidRPr="008E6ABC">
        <w:rPr>
          <w:lang w:val="it-IT"/>
        </w:rPr>
        <w:t xml:space="preserve"> (periodo di riferimento 0-14 giorni dalla prima dose di Comirnarty o Spikevax)</w:t>
      </w:r>
    </w:p>
    <w:p w14:paraId="413E1FE6" w14:textId="662C8CAB" w:rsidR="00845A40" w:rsidRPr="008E6ABC" w:rsidRDefault="00845A40" w:rsidP="00036604">
      <w:pPr>
        <w:rPr>
          <w:lang w:val="it-IT"/>
        </w:rPr>
      </w:pPr>
    </w:p>
    <w:p w14:paraId="7FD3C15D" w14:textId="2D1F107D" w:rsidR="00CB37D8" w:rsidRPr="0022309C" w:rsidRDefault="00BF53BD" w:rsidP="00036604">
      <w:r>
        <w:rPr>
          <w:noProof/>
          <w:lang w:val="it-IT" w:eastAsia="it-IT"/>
        </w:rPr>
        <w:drawing>
          <wp:inline distT="0" distB="0" distL="0" distR="0" wp14:anchorId="4C0B1676" wp14:editId="3B6F2671">
            <wp:extent cx="6487200" cy="3776400"/>
            <wp:effectExtent l="0" t="0" r="0" b="0"/>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87200" cy="3776400"/>
                    </a:xfrm>
                    <a:prstGeom prst="rect">
                      <a:avLst/>
                    </a:prstGeom>
                    <a:noFill/>
                  </pic:spPr>
                </pic:pic>
              </a:graphicData>
            </a:graphic>
          </wp:inline>
        </w:drawing>
      </w:r>
    </w:p>
    <w:p w14:paraId="0A877205" w14:textId="77777777" w:rsidR="008550C5" w:rsidRDefault="008550C5">
      <w:pPr>
        <w:rPr>
          <w:b/>
          <w:bCs/>
        </w:rPr>
      </w:pPr>
      <w:r>
        <w:rPr>
          <w:b/>
          <w:bCs/>
        </w:rPr>
        <w:br w:type="page"/>
      </w:r>
    </w:p>
    <w:p w14:paraId="4DD2F1B8" w14:textId="76223972" w:rsidR="0F3828E2" w:rsidRPr="00854170" w:rsidRDefault="00B510D5" w:rsidP="004F7BD0">
      <w:pPr>
        <w:shd w:val="clear" w:color="auto" w:fill="D0CECE" w:themeFill="background2" w:themeFillShade="E6"/>
        <w:jc w:val="both"/>
        <w:rPr>
          <w:b/>
          <w:bCs/>
          <w:sz w:val="28"/>
          <w:szCs w:val="28"/>
          <w:lang w:val="it-IT"/>
        </w:rPr>
      </w:pPr>
      <w:r>
        <w:rPr>
          <w:b/>
          <w:bCs/>
          <w:sz w:val="28"/>
          <w:szCs w:val="28"/>
          <w:lang w:val="it-IT"/>
        </w:rPr>
        <w:lastRenderedPageBreak/>
        <w:t>Interpretazione dei risultati e limiti nelle analisi</w:t>
      </w:r>
    </w:p>
    <w:p w14:paraId="02A12854" w14:textId="0C866144" w:rsidR="00532776" w:rsidRPr="00854170" w:rsidRDefault="4110AB35" w:rsidP="059B9FD5">
      <w:pPr>
        <w:jc w:val="both"/>
        <w:rPr>
          <w:lang w:val="it-IT"/>
        </w:rPr>
      </w:pPr>
      <w:r w:rsidRPr="6A86E4B3">
        <w:rPr>
          <w:lang w:val="it-IT"/>
        </w:rPr>
        <w:t>I</w:t>
      </w:r>
      <w:r w:rsidR="173404E5" w:rsidRPr="6A86E4B3">
        <w:rPr>
          <w:lang w:val="it-IT"/>
        </w:rPr>
        <w:t xml:space="preserve"> </w:t>
      </w:r>
      <w:r w:rsidR="7A389BC0" w:rsidRPr="6A86E4B3">
        <w:rPr>
          <w:lang w:val="it-IT"/>
        </w:rPr>
        <w:t>risultati descritti nel presente rapporto suggeriscono che in Italia la vaccinazione con due dosi d</w:t>
      </w:r>
      <w:r w:rsidR="6DF50DFC" w:rsidRPr="6A86E4B3">
        <w:rPr>
          <w:lang w:val="it-IT"/>
        </w:rPr>
        <w:t xml:space="preserve">ei </w:t>
      </w:r>
      <w:r w:rsidR="7A389BC0" w:rsidRPr="6A86E4B3">
        <w:rPr>
          <w:lang w:val="it-IT"/>
        </w:rPr>
        <w:t xml:space="preserve">vaccini a mRNA ha ridotto </w:t>
      </w:r>
      <w:r w:rsidR="4003BFE5" w:rsidRPr="6A86E4B3">
        <w:rPr>
          <w:lang w:val="it-IT"/>
        </w:rPr>
        <w:t xml:space="preserve">considerevolmente </w:t>
      </w:r>
      <w:r w:rsidR="7A389BC0" w:rsidRPr="6A86E4B3">
        <w:rPr>
          <w:lang w:val="it-IT"/>
        </w:rPr>
        <w:t xml:space="preserve">il rischio di </w:t>
      </w:r>
      <w:r w:rsidR="3082CBC6" w:rsidRPr="6A86E4B3">
        <w:rPr>
          <w:lang w:val="it-IT"/>
        </w:rPr>
        <w:t xml:space="preserve">una </w:t>
      </w:r>
      <w:r w:rsidR="7A389BC0" w:rsidRPr="6A86E4B3">
        <w:rPr>
          <w:lang w:val="it-IT"/>
        </w:rPr>
        <w:t>diagnosi d</w:t>
      </w:r>
      <w:r w:rsidR="07A98D80" w:rsidRPr="6A86E4B3">
        <w:rPr>
          <w:lang w:val="it-IT"/>
        </w:rPr>
        <w:t>i</w:t>
      </w:r>
      <w:r w:rsidR="7A389BC0" w:rsidRPr="6A86E4B3">
        <w:rPr>
          <w:lang w:val="it-IT"/>
        </w:rPr>
        <w:t xml:space="preserve"> COVID-19 e </w:t>
      </w:r>
      <w:r w:rsidR="005E5379">
        <w:rPr>
          <w:lang w:val="it-IT"/>
        </w:rPr>
        <w:t>di</w:t>
      </w:r>
      <w:r w:rsidR="7A389BC0" w:rsidRPr="6A86E4B3">
        <w:rPr>
          <w:lang w:val="it-IT"/>
        </w:rPr>
        <w:t xml:space="preserve"> </w:t>
      </w:r>
      <w:r w:rsidR="005E5379">
        <w:rPr>
          <w:lang w:val="it-IT"/>
        </w:rPr>
        <w:t xml:space="preserve">successivo </w:t>
      </w:r>
      <w:r w:rsidR="7A389BC0" w:rsidRPr="6A86E4B3">
        <w:rPr>
          <w:lang w:val="it-IT"/>
        </w:rPr>
        <w:t xml:space="preserve">ricovero e decesso, in particolare </w:t>
      </w:r>
      <w:r w:rsidR="5536348C" w:rsidRPr="6A86E4B3">
        <w:rPr>
          <w:lang w:val="it-IT"/>
        </w:rPr>
        <w:t xml:space="preserve">a partire </w:t>
      </w:r>
      <w:r w:rsidR="7A389BC0" w:rsidRPr="6A86E4B3">
        <w:rPr>
          <w:lang w:val="it-IT"/>
        </w:rPr>
        <w:t>da</w:t>
      </w:r>
      <w:r w:rsidR="6650E716" w:rsidRPr="6A86E4B3">
        <w:rPr>
          <w:lang w:val="it-IT"/>
        </w:rPr>
        <w:t>i</w:t>
      </w:r>
      <w:r w:rsidR="02B2166A" w:rsidRPr="6A86E4B3">
        <w:rPr>
          <w:lang w:val="it-IT"/>
        </w:rPr>
        <w:t xml:space="preserve"> </w:t>
      </w:r>
      <w:r w:rsidR="7A389BC0" w:rsidRPr="6A86E4B3">
        <w:rPr>
          <w:lang w:val="it-IT"/>
        </w:rPr>
        <w:t>14 giorni dall’amministrazione della seconda dose.</w:t>
      </w:r>
      <w:r w:rsidR="66704C39" w:rsidRPr="6A86E4B3">
        <w:rPr>
          <w:lang w:val="it-IT"/>
        </w:rPr>
        <w:t xml:space="preserve"> </w:t>
      </w:r>
      <w:r w:rsidR="7A389BC0" w:rsidRPr="6A86E4B3">
        <w:rPr>
          <w:lang w:val="it-IT"/>
        </w:rPr>
        <w:t>Nella popolazione complessiva</w:t>
      </w:r>
      <w:r w:rsidR="1D90D506" w:rsidRPr="6A86E4B3">
        <w:rPr>
          <w:lang w:val="it-IT"/>
        </w:rPr>
        <w:t xml:space="preserve"> </w:t>
      </w:r>
      <w:r w:rsidR="7A389BC0" w:rsidRPr="6A86E4B3">
        <w:rPr>
          <w:lang w:val="it-IT"/>
        </w:rPr>
        <w:t>il rischio di una diagnosi di COVID-19</w:t>
      </w:r>
      <w:r w:rsidR="38FC6E71" w:rsidRPr="6A86E4B3">
        <w:rPr>
          <w:lang w:val="it-IT"/>
        </w:rPr>
        <w:t xml:space="preserve"> e</w:t>
      </w:r>
      <w:r w:rsidR="7A389BC0" w:rsidRPr="6A86E4B3">
        <w:rPr>
          <w:lang w:val="it-IT"/>
        </w:rPr>
        <w:t xml:space="preserve"> </w:t>
      </w:r>
      <w:r w:rsidR="24EEB687" w:rsidRPr="6A86E4B3">
        <w:rPr>
          <w:lang w:val="it-IT"/>
        </w:rPr>
        <w:t xml:space="preserve">di successivo </w:t>
      </w:r>
      <w:r w:rsidR="7A389BC0" w:rsidRPr="6A86E4B3">
        <w:rPr>
          <w:lang w:val="it-IT"/>
        </w:rPr>
        <w:t>ricovero e decesso diminuisce rapidamente a partire da 14 giorni dopo la somministrazione della prima dose. L’efficacia preventiva</w:t>
      </w:r>
      <w:r w:rsidR="2344D388" w:rsidRPr="6A86E4B3">
        <w:rPr>
          <w:lang w:val="it-IT"/>
        </w:rPr>
        <w:t xml:space="preserve"> </w:t>
      </w:r>
      <w:r w:rsidR="7A389BC0" w:rsidRPr="6A86E4B3">
        <w:rPr>
          <w:lang w:val="it-IT"/>
        </w:rPr>
        <w:t>dei due vaccini (</w:t>
      </w:r>
      <w:r w:rsidR="330A4B81" w:rsidRPr="6A86E4B3">
        <w:rPr>
          <w:lang w:val="it-IT"/>
        </w:rPr>
        <w:t xml:space="preserve">stimata </w:t>
      </w:r>
      <w:r w:rsidR="2082D2AC" w:rsidRPr="6A86E4B3">
        <w:rPr>
          <w:lang w:val="it-IT"/>
        </w:rPr>
        <w:t xml:space="preserve">prendendo </w:t>
      </w:r>
      <w:r w:rsidR="7A389BC0" w:rsidRPr="6A86E4B3">
        <w:rPr>
          <w:lang w:val="it-IT"/>
        </w:rPr>
        <w:t xml:space="preserve">come </w:t>
      </w:r>
      <w:r w:rsidR="1732BD73" w:rsidRPr="6A86E4B3">
        <w:rPr>
          <w:lang w:val="it-IT"/>
        </w:rPr>
        <w:t xml:space="preserve">riferimento </w:t>
      </w:r>
      <w:r w:rsidR="7A389BC0" w:rsidRPr="6A86E4B3">
        <w:rPr>
          <w:lang w:val="it-IT"/>
        </w:rPr>
        <w:t xml:space="preserve">il rischio nei 14 giorni dalla prima dose come equivalente al rischio nella popolazione non vaccinata) raggiunge il valore più </w:t>
      </w:r>
      <w:r w:rsidR="03717A22" w:rsidRPr="6A86E4B3">
        <w:rPr>
          <w:lang w:val="it-IT"/>
        </w:rPr>
        <w:t>elevato</w:t>
      </w:r>
      <w:r w:rsidR="7A389BC0" w:rsidRPr="6A86E4B3">
        <w:rPr>
          <w:lang w:val="it-IT"/>
        </w:rPr>
        <w:t xml:space="preserve"> nell’intervallo di tempo 15-28 gio</w:t>
      </w:r>
      <w:r w:rsidR="6DFC16B8" w:rsidRPr="6A86E4B3">
        <w:rPr>
          <w:lang w:val="it-IT"/>
        </w:rPr>
        <w:t>r</w:t>
      </w:r>
      <w:r w:rsidR="7A389BC0" w:rsidRPr="6A86E4B3">
        <w:rPr>
          <w:lang w:val="it-IT"/>
        </w:rPr>
        <w:t xml:space="preserve">ni dopo la seconda dose e, sostanzialmente, si mantiene stabile nei mesi successivi. </w:t>
      </w:r>
    </w:p>
    <w:p w14:paraId="010532BB" w14:textId="3D186FED" w:rsidR="00532776" w:rsidRPr="00854170" w:rsidRDefault="1E5C2D91" w:rsidP="6A86E4B3">
      <w:pPr>
        <w:jc w:val="both"/>
        <w:rPr>
          <w:lang w:val="it-IT"/>
        </w:rPr>
      </w:pPr>
      <w:r w:rsidRPr="57807457">
        <w:rPr>
          <w:lang w:val="it-IT"/>
        </w:rPr>
        <w:t xml:space="preserve">L'efficacia </w:t>
      </w:r>
      <w:r w:rsidR="0E5320E3" w:rsidRPr="57807457">
        <w:rPr>
          <w:lang w:val="it-IT"/>
        </w:rPr>
        <w:t xml:space="preserve">preventiva </w:t>
      </w:r>
      <w:r w:rsidRPr="57807457">
        <w:rPr>
          <w:lang w:val="it-IT"/>
        </w:rPr>
        <w:t>è dell'89% nei confronti di una diagnosi di COVID-19 a circa sette mesi dopo la seconda dose</w:t>
      </w:r>
      <w:r w:rsidR="30432397" w:rsidRPr="57807457">
        <w:rPr>
          <w:lang w:val="it-IT"/>
        </w:rPr>
        <w:t xml:space="preserve">. Per quanto riguarda </w:t>
      </w:r>
      <w:r w:rsidR="0C5B2E71" w:rsidRPr="57807457">
        <w:rPr>
          <w:lang w:val="it-IT"/>
        </w:rPr>
        <w:t xml:space="preserve">i </w:t>
      </w:r>
      <w:r w:rsidR="30432397" w:rsidRPr="57807457">
        <w:rPr>
          <w:lang w:val="it-IT"/>
        </w:rPr>
        <w:t xml:space="preserve">ricoveri </w:t>
      </w:r>
      <w:r w:rsidR="2266AB39" w:rsidRPr="57807457">
        <w:rPr>
          <w:lang w:val="it-IT"/>
        </w:rPr>
        <w:t>in ospedale</w:t>
      </w:r>
      <w:r w:rsidR="21C82576" w:rsidRPr="57807457">
        <w:rPr>
          <w:lang w:val="it-IT"/>
        </w:rPr>
        <w:t xml:space="preserve"> e</w:t>
      </w:r>
      <w:r w:rsidR="00E77ED2">
        <w:rPr>
          <w:lang w:val="it-IT"/>
        </w:rPr>
        <w:t xml:space="preserve"> i ricoveri </w:t>
      </w:r>
      <w:r w:rsidR="2266AB39" w:rsidRPr="57807457">
        <w:rPr>
          <w:lang w:val="it-IT"/>
        </w:rPr>
        <w:t>in TI</w:t>
      </w:r>
      <w:r w:rsidR="18C69200" w:rsidRPr="57807457">
        <w:rPr>
          <w:lang w:val="it-IT"/>
        </w:rPr>
        <w:t xml:space="preserve"> </w:t>
      </w:r>
      <w:r w:rsidR="15FC2C94" w:rsidRPr="57807457">
        <w:rPr>
          <w:lang w:val="it-IT"/>
        </w:rPr>
        <w:t xml:space="preserve">successivi </w:t>
      </w:r>
      <w:r w:rsidR="6D626D61" w:rsidRPr="57807457">
        <w:rPr>
          <w:lang w:val="it-IT"/>
        </w:rPr>
        <w:t xml:space="preserve">a diagnosi </w:t>
      </w:r>
      <w:r w:rsidR="0353CBE8" w:rsidRPr="57807457">
        <w:rPr>
          <w:lang w:val="it-IT"/>
        </w:rPr>
        <w:t xml:space="preserve">di </w:t>
      </w:r>
      <w:r w:rsidR="7776C236" w:rsidRPr="57807457">
        <w:rPr>
          <w:rFonts w:ascii="Calibri" w:eastAsia="Calibri" w:hAnsi="Calibri" w:cs="Calibri"/>
          <w:color w:val="000000" w:themeColor="text1"/>
          <w:lang w:val="it-IT"/>
        </w:rPr>
        <w:t xml:space="preserve">COVID-19 si è osservata una efficacia </w:t>
      </w:r>
      <w:r w:rsidR="00F62695">
        <w:rPr>
          <w:rFonts w:ascii="Calibri" w:eastAsia="Calibri" w:hAnsi="Calibri" w:cs="Calibri"/>
          <w:color w:val="000000" w:themeColor="text1"/>
          <w:lang w:val="it-IT"/>
        </w:rPr>
        <w:t>preventiva</w:t>
      </w:r>
      <w:r w:rsidR="00F62695" w:rsidRPr="57807457">
        <w:rPr>
          <w:rFonts w:ascii="Calibri" w:eastAsia="Calibri" w:hAnsi="Calibri" w:cs="Calibri"/>
          <w:color w:val="000000" w:themeColor="text1"/>
          <w:lang w:val="it-IT"/>
        </w:rPr>
        <w:t xml:space="preserve"> </w:t>
      </w:r>
      <w:r w:rsidR="7776C236" w:rsidRPr="57807457">
        <w:rPr>
          <w:rFonts w:ascii="Calibri" w:eastAsia="Calibri" w:hAnsi="Calibri" w:cs="Calibri"/>
          <w:color w:val="000000" w:themeColor="text1"/>
          <w:lang w:val="it-IT"/>
        </w:rPr>
        <w:t xml:space="preserve">del </w:t>
      </w:r>
      <w:r w:rsidRPr="57807457">
        <w:rPr>
          <w:lang w:val="it-IT"/>
        </w:rPr>
        <w:t>96%</w:t>
      </w:r>
      <w:r w:rsidR="03C29492" w:rsidRPr="57807457">
        <w:rPr>
          <w:lang w:val="it-IT"/>
        </w:rPr>
        <w:t xml:space="preserve"> e nei confronti dei decessi </w:t>
      </w:r>
      <w:r w:rsidRPr="57807457">
        <w:rPr>
          <w:lang w:val="it-IT"/>
        </w:rPr>
        <w:t>del 99% a circa sei mesi dalla seconda dose.</w:t>
      </w:r>
      <w:r w:rsidR="384C132F" w:rsidRPr="57807457">
        <w:rPr>
          <w:lang w:val="it-IT"/>
        </w:rPr>
        <w:t xml:space="preserve"> Valori simili di VE sono osservati per qualsiasi diagnosi di COVID-19 nell’analisi stratificata per fasce di età, con l’eccezione della fascia di età ≥80 anni, per la quale si evidenzia un</w:t>
      </w:r>
      <w:r w:rsidR="1895C85B" w:rsidRPr="57807457">
        <w:rPr>
          <w:lang w:val="it-IT"/>
        </w:rPr>
        <w:t>a</w:t>
      </w:r>
      <w:r w:rsidR="384C132F" w:rsidRPr="57807457">
        <w:rPr>
          <w:lang w:val="it-IT"/>
        </w:rPr>
        <w:t xml:space="preserve"> legger</w:t>
      </w:r>
      <w:r w:rsidR="13B08CEE" w:rsidRPr="57807457">
        <w:rPr>
          <w:lang w:val="it-IT"/>
        </w:rPr>
        <w:t>a</w:t>
      </w:r>
      <w:r w:rsidR="384C132F" w:rsidRPr="57807457">
        <w:rPr>
          <w:lang w:val="it-IT"/>
        </w:rPr>
        <w:t xml:space="preserve"> d</w:t>
      </w:r>
      <w:r w:rsidR="24FD6F52" w:rsidRPr="57807457">
        <w:rPr>
          <w:lang w:val="it-IT"/>
        </w:rPr>
        <w:t>iminuzione</w:t>
      </w:r>
      <w:r w:rsidR="384C132F" w:rsidRPr="57807457">
        <w:rPr>
          <w:lang w:val="it-IT"/>
        </w:rPr>
        <w:t xml:space="preserve"> dell’efficacia vaccinale</w:t>
      </w:r>
      <w:r w:rsidR="59FF43E5" w:rsidRPr="57807457">
        <w:rPr>
          <w:lang w:val="it-IT"/>
        </w:rPr>
        <w:t xml:space="preserve"> </w:t>
      </w:r>
      <w:r w:rsidR="384C132F" w:rsidRPr="57807457">
        <w:rPr>
          <w:lang w:val="it-IT"/>
        </w:rPr>
        <w:t>a circa sei mesi dalla seconda dose (VE 84%).</w:t>
      </w:r>
      <w:r w:rsidR="0F82EDAD" w:rsidRPr="57807457">
        <w:rPr>
          <w:lang w:val="it-IT"/>
        </w:rPr>
        <w:t xml:space="preserve"> Un</w:t>
      </w:r>
      <w:r w:rsidR="354D8CE7" w:rsidRPr="57807457">
        <w:rPr>
          <w:lang w:val="it-IT"/>
        </w:rPr>
        <w:t xml:space="preserve"> </w:t>
      </w:r>
      <w:r w:rsidR="0F82EDAD" w:rsidRPr="57807457">
        <w:rPr>
          <w:lang w:val="it-IT"/>
        </w:rPr>
        <w:t xml:space="preserve">andamento simile si osserva negli ospiti delle residenze sanitarie assistite. </w:t>
      </w:r>
      <w:r w:rsidR="008E6ABC">
        <w:rPr>
          <w:lang w:val="it-IT"/>
        </w:rPr>
        <w:t>Da</w:t>
      </w:r>
      <w:r w:rsidR="0F82EDAD" w:rsidRPr="57807457">
        <w:rPr>
          <w:lang w:val="it-IT"/>
        </w:rPr>
        <w:t xml:space="preserve"> nota</w:t>
      </w:r>
      <w:r w:rsidR="008E6ABC">
        <w:rPr>
          <w:lang w:val="it-IT"/>
        </w:rPr>
        <w:t>re</w:t>
      </w:r>
      <w:r w:rsidR="0F82EDAD" w:rsidRPr="57807457">
        <w:rPr>
          <w:lang w:val="it-IT"/>
        </w:rPr>
        <w:t>, inoltre</w:t>
      </w:r>
      <w:r w:rsidR="008E6ABC">
        <w:rPr>
          <w:lang w:val="it-IT"/>
        </w:rPr>
        <w:t>,</w:t>
      </w:r>
      <w:r w:rsidR="0F82EDAD" w:rsidRPr="57807457">
        <w:rPr>
          <w:lang w:val="it-IT"/>
        </w:rPr>
        <w:t xml:space="preserve"> </w:t>
      </w:r>
      <w:r w:rsidR="008E6ABC" w:rsidRPr="57807457">
        <w:rPr>
          <w:lang w:val="it-IT"/>
        </w:rPr>
        <w:t>un progressivo aumento del rischio di una diagnosi di COVID-19</w:t>
      </w:r>
      <w:r w:rsidR="008E6ABC">
        <w:rPr>
          <w:lang w:val="it-IT"/>
        </w:rPr>
        <w:t xml:space="preserve"> </w:t>
      </w:r>
      <w:r w:rsidR="0F82EDAD" w:rsidRPr="57807457">
        <w:rPr>
          <w:lang w:val="it-IT"/>
        </w:rPr>
        <w:t>nei vaccinati immunocompromessi e nelle persone con comorbidità</w:t>
      </w:r>
      <w:r w:rsidR="008E6ABC">
        <w:rPr>
          <w:lang w:val="it-IT"/>
        </w:rPr>
        <w:t>;</w:t>
      </w:r>
      <w:r w:rsidR="0F82EDAD" w:rsidRPr="57807457">
        <w:rPr>
          <w:lang w:val="it-IT"/>
        </w:rPr>
        <w:t xml:space="preserve"> </w:t>
      </w:r>
      <w:r w:rsidR="008E6ABC">
        <w:rPr>
          <w:lang w:val="it-IT"/>
        </w:rPr>
        <w:t>l</w:t>
      </w:r>
      <w:r w:rsidR="0F82EDAD" w:rsidRPr="57807457">
        <w:rPr>
          <w:lang w:val="it-IT"/>
        </w:rPr>
        <w:t>’incremento del rischio si nota già a un mese dalla somministrazione della seconda dose e continua per tutta la durata dello studio. Si tratta di risultati che potrebbero indicare il verificarsi di un precoce indebolimento dell’immunità</w:t>
      </w:r>
      <w:r w:rsidR="00F62695">
        <w:rPr>
          <w:lang w:val="it-IT"/>
        </w:rPr>
        <w:t xml:space="preserve"> in</w:t>
      </w:r>
      <w:r w:rsidR="0F82EDAD" w:rsidRPr="57807457">
        <w:rPr>
          <w:lang w:val="it-IT"/>
        </w:rPr>
        <w:t xml:space="preserve"> quest</w:t>
      </w:r>
      <w:r w:rsidR="00F62695">
        <w:rPr>
          <w:lang w:val="it-IT"/>
        </w:rPr>
        <w:t>e categorie</w:t>
      </w:r>
      <w:r w:rsidR="0F82EDAD" w:rsidRPr="57807457">
        <w:rPr>
          <w:lang w:val="it-IT"/>
        </w:rPr>
        <w:t xml:space="preserve"> prioritari</w:t>
      </w:r>
      <w:r w:rsidR="00F62695">
        <w:rPr>
          <w:lang w:val="it-IT"/>
        </w:rPr>
        <w:t>e</w:t>
      </w:r>
      <w:r w:rsidR="0F82EDAD" w:rsidRPr="57807457">
        <w:rPr>
          <w:lang w:val="it-IT"/>
        </w:rPr>
        <w:t>.</w:t>
      </w:r>
      <w:r w:rsidR="008E6ABC">
        <w:rPr>
          <w:lang w:val="it-IT"/>
        </w:rPr>
        <w:t xml:space="preserve"> Ci sono comunque evidenze che </w:t>
      </w:r>
      <w:r w:rsidR="4431E4F2" w:rsidRPr="57807457">
        <w:rPr>
          <w:lang w:val="it-IT"/>
        </w:rPr>
        <w:t xml:space="preserve">il primo ciclo di </w:t>
      </w:r>
      <w:r w:rsidR="0F82EDAD" w:rsidRPr="57807457">
        <w:rPr>
          <w:lang w:val="it-IT"/>
        </w:rPr>
        <w:t>vaccinazione potrebbe non indurre un</w:t>
      </w:r>
      <w:r w:rsidR="00C2118E">
        <w:rPr>
          <w:lang w:val="it-IT"/>
        </w:rPr>
        <w:t>’</w:t>
      </w:r>
      <w:r w:rsidR="0F82EDAD" w:rsidRPr="57807457">
        <w:rPr>
          <w:lang w:val="it-IT"/>
        </w:rPr>
        <w:t xml:space="preserve">adeguata protezione </w:t>
      </w:r>
      <w:r w:rsidR="00F13C87">
        <w:rPr>
          <w:lang w:val="it-IT"/>
        </w:rPr>
        <w:t>in particolare</w:t>
      </w:r>
      <w:r w:rsidR="00F13C87" w:rsidRPr="57807457">
        <w:rPr>
          <w:lang w:val="it-IT"/>
        </w:rPr>
        <w:t xml:space="preserve"> </w:t>
      </w:r>
      <w:r w:rsidR="00F13C87">
        <w:rPr>
          <w:lang w:val="it-IT"/>
        </w:rPr>
        <w:t xml:space="preserve">nelle </w:t>
      </w:r>
      <w:r w:rsidR="0F82EDAD" w:rsidRPr="57807457">
        <w:rPr>
          <w:lang w:val="it-IT"/>
        </w:rPr>
        <w:t>persone immunocompromesse (14,15).</w:t>
      </w:r>
      <w:r w:rsidR="00F5246C" w:rsidRPr="57807457">
        <w:rPr>
          <w:lang w:val="it-IT"/>
        </w:rPr>
        <w:t xml:space="preserve"> </w:t>
      </w:r>
      <w:r w:rsidR="0F82EDAD" w:rsidRPr="57807457">
        <w:rPr>
          <w:lang w:val="it-IT"/>
        </w:rPr>
        <w:t xml:space="preserve">Negli operatori sanitari non è </w:t>
      </w:r>
      <w:r w:rsidR="00F13C87">
        <w:rPr>
          <w:lang w:val="it-IT"/>
        </w:rPr>
        <w:t xml:space="preserve">stato </w:t>
      </w:r>
      <w:r w:rsidR="0F82EDAD" w:rsidRPr="57807457">
        <w:rPr>
          <w:lang w:val="it-IT"/>
        </w:rPr>
        <w:t xml:space="preserve">invece osservato un aumento del rischio di una diagnosi di COVID-19 nel periodo in studio. </w:t>
      </w:r>
    </w:p>
    <w:p w14:paraId="1063DAAF" w14:textId="16122FFA" w:rsidR="00532776" w:rsidRPr="00854170" w:rsidRDefault="0F82EDAD" w:rsidP="059B9FD5">
      <w:pPr>
        <w:jc w:val="both"/>
        <w:rPr>
          <w:lang w:val="it-IT"/>
        </w:rPr>
      </w:pPr>
      <w:r w:rsidRPr="57807457">
        <w:rPr>
          <w:lang w:val="it-IT"/>
        </w:rPr>
        <w:t>In un altro report, pubblicato recentemente dall’ISS, si è osservata un’efficacia vaccinale del 77%, stimata nel periodo aprile-settembre 2021</w:t>
      </w:r>
      <w:r w:rsidR="00C2118E">
        <w:rPr>
          <w:lang w:val="it-IT"/>
        </w:rPr>
        <w:t>,</w:t>
      </w:r>
      <w:r w:rsidRPr="57807457">
        <w:rPr>
          <w:lang w:val="it-IT"/>
        </w:rPr>
        <w:t xml:space="preserve"> prendendo come riferimento persone non vaccinate (17). </w:t>
      </w:r>
      <w:r w:rsidR="4B62D1D6" w:rsidRPr="57807457">
        <w:rPr>
          <w:lang w:val="it-IT"/>
        </w:rPr>
        <w:t xml:space="preserve">Nel presente rapporto, un’analisi più approfondita per fase epidemica sembra suggerire che l’efficacia protettiva nei confronti di una diagnosi di COVID-19 (la cui definizione comprende infezioni sintomatiche e asintomatiche) è più bassa nei mesi recenti che sono stati caratterizzati sia dalla predominanza della variante delta in Italia sia dal progressivo allentamento delle misure legali di restrizione relative al distanziamento sociale (67% fase delta </w:t>
      </w:r>
      <w:r w:rsidR="4B62D1D6" w:rsidRPr="00F13C87">
        <w:rPr>
          <w:i/>
          <w:lang w:val="it-IT"/>
        </w:rPr>
        <w:t>vs</w:t>
      </w:r>
      <w:r w:rsidR="4B62D1D6" w:rsidRPr="57807457">
        <w:rPr>
          <w:lang w:val="it-IT"/>
        </w:rPr>
        <w:t xml:space="preserve"> 85% fase alfa).</w:t>
      </w:r>
      <w:r w:rsidR="214B23B2" w:rsidRPr="57807457">
        <w:rPr>
          <w:lang w:val="it-IT"/>
        </w:rPr>
        <w:t xml:space="preserve"> </w:t>
      </w:r>
      <w:r w:rsidR="4B62D1D6" w:rsidRPr="57807457">
        <w:rPr>
          <w:lang w:val="it-IT"/>
        </w:rPr>
        <w:t>Questi risultati non sono inaspettati, tenendo conto della riconosciuta aumentata trasmissibilità della variante delta (16). Non è stato, invece, possibile stimare l’efficacia protettiva durante la “fase epidemica delta” nei confronti della malattia grave (</w:t>
      </w:r>
      <w:r w:rsidR="00F13C87">
        <w:rPr>
          <w:lang w:val="it-IT"/>
        </w:rPr>
        <w:t>ricovero</w:t>
      </w:r>
      <w:r w:rsidR="4B62D1D6" w:rsidRPr="57807457">
        <w:rPr>
          <w:lang w:val="it-IT"/>
        </w:rPr>
        <w:t xml:space="preserve">, ricovero in terapia intensiva, decesso), poiché è necessario un tempo di follow-up più lungo per valutare adeguatamente qualsiasi potenziale riduzione dell'effetto protettivo. Tuttavia, un’analisi preliminare, sebbene con stime imprecise, suggerisce che i vaccini conferiscono una protezione </w:t>
      </w:r>
      <w:r w:rsidR="7896F123" w:rsidRPr="57807457">
        <w:rPr>
          <w:lang w:val="it-IT"/>
        </w:rPr>
        <w:t xml:space="preserve">nei confronti del ricovero </w:t>
      </w:r>
      <w:r w:rsidR="4B62D1D6" w:rsidRPr="57807457">
        <w:rPr>
          <w:lang w:val="it-IT"/>
        </w:rPr>
        <w:t>che resta</w:t>
      </w:r>
      <w:r w:rsidR="008E6ABC">
        <w:rPr>
          <w:lang w:val="it-IT"/>
        </w:rPr>
        <w:t xml:space="preserve"> alta nella fase delta </w:t>
      </w:r>
      <w:r w:rsidR="4B62D1D6" w:rsidRPr="57807457">
        <w:rPr>
          <w:lang w:val="it-IT"/>
        </w:rPr>
        <w:t>(88</w:t>
      </w:r>
      <w:r w:rsidR="00F13C87">
        <w:rPr>
          <w:lang w:val="it-IT"/>
        </w:rPr>
        <w:t>,</w:t>
      </w:r>
      <w:r w:rsidR="4B62D1D6" w:rsidRPr="57807457">
        <w:rPr>
          <w:lang w:val="it-IT"/>
        </w:rPr>
        <w:t>7%, 95% CI: 66</w:t>
      </w:r>
      <w:r w:rsidR="00F13C87">
        <w:rPr>
          <w:lang w:val="it-IT"/>
        </w:rPr>
        <w:t>,</w:t>
      </w:r>
      <w:r w:rsidR="4B62D1D6" w:rsidRPr="57807457">
        <w:rPr>
          <w:lang w:val="it-IT"/>
        </w:rPr>
        <w:t>1-96</w:t>
      </w:r>
      <w:r w:rsidR="00F13C87">
        <w:rPr>
          <w:lang w:val="it-IT"/>
        </w:rPr>
        <w:t>,</w:t>
      </w:r>
      <w:r w:rsidR="4B62D1D6" w:rsidRPr="57807457">
        <w:rPr>
          <w:lang w:val="it-IT"/>
        </w:rPr>
        <w:t>3%). Continueremo a monitorare questi andamenti dell’efficacia vaccinale e a pubblicarli nei prossimi rapporti.</w:t>
      </w:r>
    </w:p>
    <w:p w14:paraId="78CED87A" w14:textId="1FD56509" w:rsidR="00532776" w:rsidRPr="00854170" w:rsidRDefault="6B67E62E" w:rsidP="0473F2CE">
      <w:pPr>
        <w:jc w:val="both"/>
        <w:rPr>
          <w:lang w:val="it-IT"/>
        </w:rPr>
      </w:pPr>
      <w:r w:rsidRPr="604B7DD0">
        <w:rPr>
          <w:lang w:val="it-IT"/>
        </w:rPr>
        <w:t xml:space="preserve">L’analisi presenta alcune limitazioni che devono essere prese in considerazione nell’interpretazione dei risultati. Sebbene </w:t>
      </w:r>
      <w:r w:rsidR="00F13C87">
        <w:rPr>
          <w:lang w:val="it-IT"/>
        </w:rPr>
        <w:t>si sia</w:t>
      </w:r>
      <w:r w:rsidR="00F13C87" w:rsidRPr="604B7DD0">
        <w:rPr>
          <w:lang w:val="it-IT"/>
        </w:rPr>
        <w:t xml:space="preserve"> </w:t>
      </w:r>
      <w:r w:rsidRPr="604B7DD0">
        <w:rPr>
          <w:lang w:val="it-IT"/>
        </w:rPr>
        <w:t xml:space="preserve">tenuto conto del rischio competitivo di morte specifico per età e sesso per cause diverse dal COVID-19, potrebbe </w:t>
      </w:r>
      <w:r w:rsidRPr="7EB4AE9B">
        <w:rPr>
          <w:lang w:val="it-IT"/>
        </w:rPr>
        <w:t xml:space="preserve">tuttavia </w:t>
      </w:r>
      <w:r w:rsidRPr="604B7DD0">
        <w:rPr>
          <w:lang w:val="it-IT"/>
        </w:rPr>
        <w:t>essere presente un effetto di distorsione delle stime dovuto alla mortalità differenziale in alcuni sottogruppi di popolazione</w:t>
      </w:r>
      <w:r w:rsidR="7AB68441" w:rsidRPr="0473F2CE">
        <w:rPr>
          <w:lang w:val="it-IT"/>
        </w:rPr>
        <w:t xml:space="preserve">. Ad esempio, gli ospiti delle residenze sanitarie assistite sono a rischio aumentato di decesso per altre cause </w:t>
      </w:r>
      <w:r w:rsidR="00F13C87">
        <w:rPr>
          <w:lang w:val="it-IT"/>
        </w:rPr>
        <w:t>rispetto alla</w:t>
      </w:r>
      <w:r w:rsidR="7AB68441" w:rsidRPr="0473F2CE">
        <w:rPr>
          <w:lang w:val="it-IT"/>
        </w:rPr>
        <w:t xml:space="preserve"> popolazione generale della stessa regione, età, sesso, da cui potrebbe risultare una sottostima della reale incidenza di infezioni da SARS-CoV-2 con l’aumentare del tempo trascorso dalla vaccinazione e una conseguente sottostima </w:t>
      </w:r>
      <w:r w:rsidR="4C3DC473" w:rsidRPr="009C3129">
        <w:rPr>
          <w:lang w:val="it-IT"/>
        </w:rPr>
        <w:t xml:space="preserve">della </w:t>
      </w:r>
      <w:r w:rsidR="4C3DC473" w:rsidRPr="4E1AA2C0">
        <w:rPr>
          <w:lang w:val="it-IT"/>
        </w:rPr>
        <w:t xml:space="preserve">riduzione dell’efficacia </w:t>
      </w:r>
      <w:r w:rsidR="4C3DC473" w:rsidRPr="3B2342CB">
        <w:rPr>
          <w:lang w:val="it-IT"/>
        </w:rPr>
        <w:t>protettiva</w:t>
      </w:r>
      <w:r w:rsidR="7AB68441" w:rsidRPr="0473F2CE">
        <w:rPr>
          <w:lang w:val="it-IT"/>
        </w:rPr>
        <w:t xml:space="preserve"> in questo sottogruppo.</w:t>
      </w:r>
    </w:p>
    <w:p w14:paraId="7F3E3533" w14:textId="5B39BAB4" w:rsidR="00532776" w:rsidRPr="00854170" w:rsidRDefault="00532776" w:rsidP="059B9FD5">
      <w:pPr>
        <w:jc w:val="both"/>
        <w:rPr>
          <w:lang w:val="it-IT"/>
        </w:rPr>
      </w:pPr>
    </w:p>
    <w:p w14:paraId="38919E9E" w14:textId="2EB94238" w:rsidR="4A14B4A9" w:rsidRPr="00CD6D5F" w:rsidRDefault="04BE7CD0" w:rsidP="6A86E4B3">
      <w:pPr>
        <w:jc w:val="both"/>
        <w:rPr>
          <w:lang w:val="it-IT"/>
        </w:rPr>
      </w:pPr>
      <w:r w:rsidRPr="6A86E4B3">
        <w:rPr>
          <w:lang w:val="it-IT"/>
        </w:rPr>
        <w:t>Inoltre, gli operatori sanitari considerati a maggior rischio di infezione (ad esempio il personale del</w:t>
      </w:r>
      <w:r w:rsidR="00F13C87">
        <w:rPr>
          <w:lang w:val="it-IT"/>
        </w:rPr>
        <w:t>le terapie intensive</w:t>
      </w:r>
      <w:r w:rsidRPr="6A86E4B3">
        <w:rPr>
          <w:lang w:val="it-IT"/>
        </w:rPr>
        <w:t>) probabilmente vaccinati nella fase precoce della campagna vaccinale sono anche coloro più frequentemente sottoposti ai test diagnostici per infezione da SARS-CoV-2 e quindi più frequentemente diagnosticati rispetto ad altri operatori sanitari (ad esempio lo staff sanitario amministrativo). Di conseguenza, una diminuzione dell’</w:t>
      </w:r>
      <w:r w:rsidR="008E6ABC">
        <w:rPr>
          <w:lang w:val="it-IT"/>
        </w:rPr>
        <w:t xml:space="preserve">efficacia protettiva </w:t>
      </w:r>
      <w:r w:rsidRPr="6A86E4B3">
        <w:rPr>
          <w:lang w:val="it-IT"/>
        </w:rPr>
        <w:t>negli operatori sanitari potrebbe in realtà essere più bassa di quella osservata. Al momento dell’analisi, i risultati non evidenziano nessuna riduzione di efficacia in questa popolazione</w:t>
      </w:r>
      <w:r w:rsidR="7CD62FCD" w:rsidRPr="6A86E4B3">
        <w:rPr>
          <w:lang w:val="it-IT"/>
        </w:rPr>
        <w:t>.</w:t>
      </w:r>
    </w:p>
    <w:p w14:paraId="15C412B4" w14:textId="59FD8A3E" w:rsidR="4A14B4A9" w:rsidRPr="00CD6D5F" w:rsidRDefault="4A14B4A9" w:rsidP="6A86E4B3">
      <w:pPr>
        <w:jc w:val="both"/>
        <w:rPr>
          <w:lang w:val="it-IT"/>
        </w:rPr>
      </w:pPr>
    </w:p>
    <w:p w14:paraId="416B913F" w14:textId="03288AA5" w:rsidR="00532776" w:rsidRPr="008E6ABC" w:rsidRDefault="00532776" w:rsidP="00A9468E">
      <w:pPr>
        <w:jc w:val="both"/>
        <w:rPr>
          <w:lang w:val="it-IT"/>
        </w:rPr>
      </w:pPr>
    </w:p>
    <w:p w14:paraId="699BBDF2" w14:textId="77777777" w:rsidR="00CD6D5F" w:rsidRPr="008E6ABC" w:rsidRDefault="00CD6D5F">
      <w:pPr>
        <w:rPr>
          <w:b/>
          <w:bCs/>
          <w:sz w:val="26"/>
          <w:szCs w:val="26"/>
          <w:lang w:val="it-IT"/>
        </w:rPr>
      </w:pPr>
      <w:r w:rsidRPr="008E6ABC">
        <w:rPr>
          <w:b/>
          <w:bCs/>
          <w:sz w:val="26"/>
          <w:szCs w:val="26"/>
          <w:lang w:val="it-IT"/>
        </w:rPr>
        <w:br w:type="page"/>
      </w:r>
    </w:p>
    <w:p w14:paraId="3B95B0E1" w14:textId="3DA121D5" w:rsidR="6F497843" w:rsidRPr="00CD6D5F" w:rsidRDefault="000B5480" w:rsidP="000B5480">
      <w:pPr>
        <w:shd w:val="clear" w:color="auto" w:fill="D0CECE" w:themeFill="background2" w:themeFillShade="E6"/>
        <w:jc w:val="both"/>
        <w:rPr>
          <w:b/>
          <w:bCs/>
          <w:sz w:val="28"/>
          <w:szCs w:val="28"/>
          <w:lang w:val="en-GB"/>
        </w:rPr>
      </w:pPr>
      <w:r w:rsidRPr="00CD6D5F">
        <w:rPr>
          <w:b/>
          <w:bCs/>
          <w:sz w:val="28"/>
          <w:szCs w:val="28"/>
          <w:lang w:val="en-GB"/>
        </w:rPr>
        <w:lastRenderedPageBreak/>
        <w:t>Bibliografia</w:t>
      </w:r>
    </w:p>
    <w:p w14:paraId="01C5AFB0" w14:textId="0F75FDA2" w:rsidR="7E08C656" w:rsidRPr="00CA13FE" w:rsidRDefault="7E08C656" w:rsidP="00C2118E">
      <w:pPr>
        <w:pStyle w:val="Paragrafoelenco"/>
        <w:numPr>
          <w:ilvl w:val="0"/>
          <w:numId w:val="4"/>
        </w:numPr>
        <w:spacing w:line="257" w:lineRule="auto"/>
        <w:ind w:left="426"/>
        <w:rPr>
          <w:rFonts w:ascii="Calibri" w:eastAsia="Calibri" w:hAnsi="Calibri" w:cs="Calibri"/>
          <w:lang w:val="en-GB"/>
        </w:rPr>
      </w:pPr>
      <w:r w:rsidRPr="00CA13FE">
        <w:rPr>
          <w:rFonts w:ascii="Calibri" w:eastAsia="Calibri" w:hAnsi="Calibri" w:cs="Calibri"/>
          <w:lang w:val="en-GB"/>
        </w:rPr>
        <w:t xml:space="preserve">Dagan N, Barda N, Kepten E, </w:t>
      </w:r>
      <w:r w:rsidRPr="00CA13FE">
        <w:rPr>
          <w:rFonts w:ascii="Calibri" w:eastAsia="Calibri" w:hAnsi="Calibri" w:cs="Calibri"/>
          <w:color w:val="000000" w:themeColor="text1"/>
          <w:lang w:val="en-GB"/>
        </w:rPr>
        <w:t xml:space="preserve">BNT162b2 mRNA </w:t>
      </w:r>
      <w:r w:rsidR="77477E34" w:rsidRPr="00CA13FE">
        <w:rPr>
          <w:rFonts w:ascii="Calibri" w:eastAsia="Calibri" w:hAnsi="Calibri" w:cs="Calibri"/>
          <w:color w:val="000000" w:themeColor="text1"/>
          <w:lang w:val="en-GB"/>
        </w:rPr>
        <w:t>Covid</w:t>
      </w:r>
      <w:r w:rsidRPr="00CA13FE">
        <w:rPr>
          <w:rFonts w:ascii="Calibri" w:eastAsia="Calibri" w:hAnsi="Calibri" w:cs="Calibri"/>
          <w:color w:val="000000" w:themeColor="text1"/>
          <w:lang w:val="en-GB"/>
        </w:rPr>
        <w:t xml:space="preserve">-19 </w:t>
      </w:r>
      <w:r w:rsidR="77477E34" w:rsidRPr="00CA13FE">
        <w:rPr>
          <w:rFonts w:ascii="Calibri" w:eastAsia="Calibri" w:hAnsi="Calibri" w:cs="Calibri"/>
          <w:color w:val="000000" w:themeColor="text1"/>
          <w:lang w:val="en-GB"/>
        </w:rPr>
        <w:t>Vaccine</w:t>
      </w:r>
      <w:r w:rsidRPr="00CA13FE">
        <w:rPr>
          <w:rFonts w:ascii="Calibri" w:eastAsia="Calibri" w:hAnsi="Calibri" w:cs="Calibri"/>
          <w:color w:val="000000" w:themeColor="text1"/>
          <w:lang w:val="en-GB"/>
        </w:rPr>
        <w:t xml:space="preserve"> in a </w:t>
      </w:r>
      <w:r w:rsidR="77477E34" w:rsidRPr="00CA13FE">
        <w:rPr>
          <w:rFonts w:ascii="Calibri" w:eastAsia="Calibri" w:hAnsi="Calibri" w:cs="Calibri"/>
          <w:color w:val="000000" w:themeColor="text1"/>
          <w:lang w:val="en-GB"/>
        </w:rPr>
        <w:t>Nationwide Mass Vaccination Setting.</w:t>
      </w:r>
      <w:r w:rsidRPr="00CA13FE">
        <w:rPr>
          <w:rFonts w:ascii="Calibri" w:eastAsia="Calibri" w:hAnsi="Calibri" w:cs="Calibri"/>
          <w:color w:val="000000" w:themeColor="text1"/>
          <w:lang w:val="en-GB"/>
        </w:rPr>
        <w:t xml:space="preserve"> N Engl J Med. </w:t>
      </w:r>
      <w:r w:rsidR="77477E34" w:rsidRPr="00CA13FE">
        <w:rPr>
          <w:rFonts w:ascii="Calibri" w:eastAsia="Calibri" w:hAnsi="Calibri" w:cs="Calibri"/>
          <w:color w:val="000000" w:themeColor="text1"/>
          <w:lang w:val="en-GB"/>
        </w:rPr>
        <w:t>2021 Apr 15;384(15):1412-1423</w:t>
      </w:r>
    </w:p>
    <w:p w14:paraId="1B529D98" w14:textId="2D3D4464" w:rsidR="7E08C656" w:rsidRPr="00CB37D8" w:rsidRDefault="7E08C656" w:rsidP="00C2118E">
      <w:pPr>
        <w:pStyle w:val="Paragrafoelenco"/>
        <w:numPr>
          <w:ilvl w:val="0"/>
          <w:numId w:val="4"/>
        </w:numPr>
        <w:spacing w:line="257" w:lineRule="auto"/>
        <w:ind w:left="426"/>
        <w:rPr>
          <w:rFonts w:ascii="Calibri" w:eastAsia="Calibri" w:hAnsi="Calibri" w:cs="Calibri"/>
          <w:lang w:val="en-US"/>
        </w:rPr>
      </w:pPr>
      <w:r w:rsidRPr="00CA13FE">
        <w:rPr>
          <w:rFonts w:ascii="Calibri" w:eastAsia="Calibri" w:hAnsi="Calibri" w:cs="Calibri"/>
          <w:color w:val="000000" w:themeColor="text1"/>
          <w:lang w:val="en-GB"/>
        </w:rPr>
        <w:t>Haas EJ, Angulo FJ, McLaughlin JM, et al. Impact and effectiveness of mRNA BNT162b2 vaccine against SARS-CoV-2 infections and COVID-19 cases, hospitalisations, and deaths following a nationwide vaccination campaign in Israel: an observational study using national surveillance data. Lancet. 2021</w:t>
      </w:r>
      <w:r w:rsidR="5C56D4D9" w:rsidRPr="00CA13FE">
        <w:rPr>
          <w:rFonts w:ascii="Calibri" w:eastAsia="Calibri" w:hAnsi="Calibri" w:cs="Calibri"/>
          <w:color w:val="000000" w:themeColor="text1"/>
          <w:lang w:val="en-GB"/>
        </w:rPr>
        <w:t xml:space="preserve"> May 15</w:t>
      </w:r>
      <w:r w:rsidRPr="00CA13FE">
        <w:rPr>
          <w:rFonts w:ascii="Calibri" w:eastAsia="Calibri" w:hAnsi="Calibri" w:cs="Calibri"/>
          <w:color w:val="000000" w:themeColor="text1"/>
          <w:lang w:val="en-GB"/>
        </w:rPr>
        <w:t>;397(10287):1819-</w:t>
      </w:r>
      <w:r w:rsidR="5C56D4D9" w:rsidRPr="00CA13FE">
        <w:rPr>
          <w:rFonts w:ascii="Calibri" w:eastAsia="Calibri" w:hAnsi="Calibri" w:cs="Calibri"/>
          <w:color w:val="000000" w:themeColor="text1"/>
          <w:lang w:val="en-GB"/>
        </w:rPr>
        <w:t>1829</w:t>
      </w:r>
    </w:p>
    <w:p w14:paraId="6D46789E" w14:textId="53A9A58F" w:rsidR="7E08C656" w:rsidRPr="00CA13FE" w:rsidRDefault="7E08C656" w:rsidP="00C2118E">
      <w:pPr>
        <w:pStyle w:val="Paragrafoelenco"/>
        <w:numPr>
          <w:ilvl w:val="0"/>
          <w:numId w:val="4"/>
        </w:numPr>
        <w:spacing w:line="257" w:lineRule="auto"/>
        <w:ind w:left="426"/>
        <w:rPr>
          <w:rFonts w:ascii="Calibri" w:eastAsia="Calibri" w:hAnsi="Calibri" w:cs="Calibri"/>
          <w:lang w:val="fr-FR"/>
        </w:rPr>
      </w:pPr>
      <w:r w:rsidRPr="00E63BDB">
        <w:rPr>
          <w:rFonts w:ascii="Calibri" w:eastAsia="Calibri" w:hAnsi="Calibri" w:cs="Calibri"/>
          <w:lang w:val="en-GB"/>
        </w:rPr>
        <w:t>Lopez Bernal J</w:t>
      </w:r>
      <w:r w:rsidRPr="00E63BDB">
        <w:rPr>
          <w:rFonts w:ascii="Calibri" w:eastAsia="Calibri" w:hAnsi="Calibri" w:cs="Calibri"/>
          <w:b/>
          <w:lang w:val="en-GB"/>
        </w:rPr>
        <w:t>,</w:t>
      </w:r>
      <w:r w:rsidRPr="00E63BDB">
        <w:rPr>
          <w:rFonts w:ascii="Calibri" w:eastAsia="Calibri" w:hAnsi="Calibri" w:cs="Calibri"/>
          <w:lang w:val="en-GB"/>
        </w:rPr>
        <w:t xml:space="preserve"> Andrews N, Gower C, </w:t>
      </w:r>
      <w:r w:rsidR="3D569DCC" w:rsidRPr="00E63BDB">
        <w:rPr>
          <w:rFonts w:ascii="Calibri" w:eastAsia="Calibri" w:hAnsi="Calibri" w:cs="Calibri"/>
          <w:lang w:val="en-GB"/>
        </w:rPr>
        <w:t>et al.</w:t>
      </w:r>
      <w:r w:rsidRPr="00E63BDB">
        <w:rPr>
          <w:rFonts w:ascii="Calibri" w:eastAsia="Calibri" w:hAnsi="Calibri" w:cs="Calibri"/>
          <w:lang w:val="en-GB"/>
        </w:rPr>
        <w:t xml:space="preserve"> </w:t>
      </w:r>
      <w:r w:rsidRPr="00CA13FE">
        <w:rPr>
          <w:rFonts w:ascii="Calibri" w:eastAsia="Calibri" w:hAnsi="Calibri" w:cs="Calibri"/>
          <w:lang w:val="en-GB"/>
        </w:rPr>
        <w:t xml:space="preserve">Effectiveness of the Pfizer-BioNTech and Oxford-AstraZeneca vaccines on covid-19 related symptoms, hospital admissions, and mortality in older adults in England: test negative case-control study. </w:t>
      </w:r>
      <w:r w:rsidRPr="00CA13FE">
        <w:rPr>
          <w:rFonts w:ascii="Calibri" w:eastAsia="Calibri" w:hAnsi="Calibri" w:cs="Calibri"/>
          <w:lang w:val="fr-FR"/>
        </w:rPr>
        <w:t xml:space="preserve">BMJ. 2021;373:n1088 </w:t>
      </w:r>
    </w:p>
    <w:p w14:paraId="37863313" w14:textId="78EEDF5F" w:rsidR="7E08C656" w:rsidRPr="00CA13FE" w:rsidRDefault="7E08C656" w:rsidP="00C2118E">
      <w:pPr>
        <w:pStyle w:val="Paragrafoelenco"/>
        <w:numPr>
          <w:ilvl w:val="0"/>
          <w:numId w:val="4"/>
        </w:numPr>
        <w:spacing w:line="257" w:lineRule="auto"/>
        <w:ind w:left="426"/>
        <w:rPr>
          <w:rFonts w:ascii="Calibri" w:eastAsia="Calibri" w:hAnsi="Calibri" w:cs="Calibri"/>
          <w:lang w:val="en-GB"/>
        </w:rPr>
      </w:pPr>
      <w:r w:rsidRPr="00CA13FE">
        <w:rPr>
          <w:rFonts w:ascii="Calibri" w:eastAsia="Calibri" w:hAnsi="Calibri" w:cs="Calibri"/>
          <w:lang w:val="fr-FR"/>
        </w:rPr>
        <w:t xml:space="preserve">Vasileiou </w:t>
      </w:r>
      <w:r w:rsidRPr="00CA13FE">
        <w:rPr>
          <w:rFonts w:ascii="Calibri" w:eastAsia="Calibri" w:hAnsi="Calibri" w:cs="Calibri"/>
          <w:b/>
          <w:lang w:val="fr-FR"/>
        </w:rPr>
        <w:t>E,</w:t>
      </w:r>
      <w:r w:rsidRPr="00CA13FE">
        <w:rPr>
          <w:rFonts w:ascii="Calibri" w:eastAsia="Calibri" w:hAnsi="Calibri" w:cs="Calibri"/>
          <w:lang w:val="fr-FR"/>
        </w:rPr>
        <w:t xml:space="preserve"> Simpson CR, </w:t>
      </w:r>
      <w:r w:rsidR="7A51D8A3" w:rsidRPr="00CA13FE">
        <w:rPr>
          <w:rFonts w:ascii="Calibri" w:eastAsia="Calibri" w:hAnsi="Calibri" w:cs="Calibri"/>
          <w:color w:val="000000" w:themeColor="text1"/>
          <w:lang w:val="fr-FR"/>
        </w:rPr>
        <w:t>Shi T</w:t>
      </w:r>
      <w:r w:rsidRPr="00CA13FE">
        <w:rPr>
          <w:rFonts w:ascii="Calibri" w:eastAsia="Calibri" w:hAnsi="Calibri" w:cs="Calibri"/>
          <w:lang w:val="fr-FR"/>
        </w:rPr>
        <w:t xml:space="preserve">, et al. </w:t>
      </w:r>
      <w:r w:rsidR="7A51D8A3" w:rsidRPr="00CA13FE">
        <w:rPr>
          <w:rFonts w:ascii="Calibri" w:eastAsia="Calibri" w:hAnsi="Calibri" w:cs="Calibri"/>
          <w:color w:val="000000" w:themeColor="text1"/>
          <w:lang w:val="en-GB"/>
        </w:rPr>
        <w:t>Interim findings from first-dose mass COVID-19 vaccination roll-out and COVID-19 hospital admissions in Scotland: a national prospective cohort study. Lancet. 2021 May 1;397(10285):1646-1657</w:t>
      </w:r>
    </w:p>
    <w:p w14:paraId="3DE41B5D" w14:textId="17AAE95E" w:rsidR="7E08C656" w:rsidRPr="00CA13FE" w:rsidRDefault="7E08C656" w:rsidP="00C2118E">
      <w:pPr>
        <w:pStyle w:val="Paragrafoelenco"/>
        <w:numPr>
          <w:ilvl w:val="0"/>
          <w:numId w:val="4"/>
        </w:numPr>
        <w:spacing w:line="257" w:lineRule="auto"/>
        <w:ind w:left="426"/>
        <w:rPr>
          <w:rFonts w:ascii="Calibri" w:eastAsia="Calibri" w:hAnsi="Calibri" w:cs="Calibri"/>
          <w:lang w:val="en-GB"/>
        </w:rPr>
      </w:pPr>
      <w:r w:rsidRPr="00CA13FE">
        <w:rPr>
          <w:rFonts w:ascii="Calibri" w:eastAsia="Calibri" w:hAnsi="Calibri" w:cs="Calibri"/>
          <w:lang w:val="en-GB"/>
        </w:rPr>
        <w:t>Thompson MG, Burgess JL, Naleway AL, et al</w:t>
      </w:r>
      <w:r w:rsidR="4594BF7F" w:rsidRPr="00CA13FE">
        <w:rPr>
          <w:rFonts w:ascii="Calibri" w:eastAsia="Calibri" w:hAnsi="Calibri" w:cs="Calibri"/>
          <w:lang w:val="en-GB"/>
        </w:rPr>
        <w:t>.</w:t>
      </w:r>
      <w:r w:rsidRPr="00CA13FE">
        <w:rPr>
          <w:rFonts w:ascii="Calibri" w:eastAsia="Calibri" w:hAnsi="Calibri" w:cs="Calibri"/>
          <w:lang w:val="en-GB"/>
        </w:rPr>
        <w:t xml:space="preserve"> Prevention and Attenuation of Covid-19 with the BNT162b2 and mRNA-1273 Vaccines. N Engl J Med. 2021 Jul 22;385(4):320-329. </w:t>
      </w:r>
    </w:p>
    <w:p w14:paraId="38DAD9B3" w14:textId="096CF079" w:rsidR="7E08C656" w:rsidRPr="00CB37D8" w:rsidRDefault="7E08C656" w:rsidP="00C2118E">
      <w:pPr>
        <w:pStyle w:val="Paragrafoelenco"/>
        <w:numPr>
          <w:ilvl w:val="0"/>
          <w:numId w:val="4"/>
        </w:numPr>
        <w:spacing w:line="257" w:lineRule="auto"/>
        <w:ind w:left="426"/>
        <w:rPr>
          <w:rFonts w:ascii="Calibri" w:eastAsia="Calibri" w:hAnsi="Calibri" w:cs="Calibri"/>
          <w:lang w:val="en-US"/>
        </w:rPr>
      </w:pPr>
      <w:r w:rsidRPr="00CA13FE">
        <w:rPr>
          <w:rFonts w:ascii="Calibri" w:eastAsia="Calibri" w:hAnsi="Calibri" w:cs="Calibri"/>
          <w:lang w:val="en-GB"/>
        </w:rPr>
        <w:t xml:space="preserve">Hall VJ, Foulkes S, Saei A, </w:t>
      </w:r>
      <w:r w:rsidR="5F6A4DAA" w:rsidRPr="00CA13FE">
        <w:rPr>
          <w:rFonts w:ascii="Calibri" w:eastAsia="Calibri" w:hAnsi="Calibri" w:cs="Calibri"/>
          <w:lang w:val="en-GB"/>
        </w:rPr>
        <w:t>et al.</w:t>
      </w:r>
      <w:r w:rsidRPr="00CA13FE">
        <w:rPr>
          <w:rFonts w:ascii="Calibri" w:eastAsia="Calibri" w:hAnsi="Calibri" w:cs="Calibri"/>
          <w:lang w:val="en-GB"/>
        </w:rPr>
        <w:t xml:space="preserve"> COVID-19 vaccine coverage in health-care workers in England and effectiveness of BNT162b2 mRNA vaccine against infection (SIREN): a prospective, multicentre, cohort study. </w:t>
      </w:r>
      <w:r w:rsidRPr="00CB37D8">
        <w:rPr>
          <w:rFonts w:ascii="Calibri" w:eastAsia="Calibri" w:hAnsi="Calibri" w:cs="Calibri"/>
          <w:lang w:val="en-US"/>
        </w:rPr>
        <w:t xml:space="preserve">Lancet. 2021 May 8;397(10286):1725-1735. </w:t>
      </w:r>
    </w:p>
    <w:p w14:paraId="22EDA518" w14:textId="5A7FC86C" w:rsidR="7E08C656" w:rsidRPr="00CA13FE" w:rsidRDefault="7E08C656" w:rsidP="00C2118E">
      <w:pPr>
        <w:pStyle w:val="Paragrafoelenco"/>
        <w:numPr>
          <w:ilvl w:val="0"/>
          <w:numId w:val="4"/>
        </w:numPr>
        <w:spacing w:line="257" w:lineRule="auto"/>
        <w:ind w:left="426"/>
        <w:rPr>
          <w:rFonts w:ascii="Calibri" w:eastAsia="Calibri" w:hAnsi="Calibri" w:cs="Calibri"/>
          <w:lang w:val="en-GB"/>
        </w:rPr>
      </w:pPr>
      <w:r w:rsidRPr="00CA13FE">
        <w:rPr>
          <w:rFonts w:ascii="Calibri" w:eastAsia="Calibri" w:hAnsi="Calibri" w:cs="Calibri"/>
        </w:rPr>
        <w:t xml:space="preserve">Mateo-Urdiales </w:t>
      </w:r>
      <w:r w:rsidR="56F2A4EE" w:rsidRPr="00CA13FE">
        <w:rPr>
          <w:rFonts w:ascii="Calibri" w:eastAsia="Calibri" w:hAnsi="Calibri" w:cs="Calibri"/>
        </w:rPr>
        <w:t>A</w:t>
      </w:r>
      <w:r w:rsidRPr="00CA13FE">
        <w:rPr>
          <w:rFonts w:ascii="Calibri" w:eastAsia="Calibri" w:hAnsi="Calibri" w:cs="Calibri"/>
          <w:b/>
          <w:bCs/>
        </w:rPr>
        <w:t>,</w:t>
      </w:r>
      <w:r w:rsidRPr="00CA13FE">
        <w:rPr>
          <w:rFonts w:ascii="Calibri" w:eastAsia="Calibri" w:hAnsi="Calibri" w:cs="Calibri"/>
        </w:rPr>
        <w:t xml:space="preserve"> Spila Alegiani S, </w:t>
      </w:r>
      <w:r w:rsidR="009B4456">
        <w:rPr>
          <w:rFonts w:ascii="Calibri" w:eastAsia="Calibri" w:hAnsi="Calibri" w:cs="Calibri"/>
        </w:rPr>
        <w:t>Fabiani M</w:t>
      </w:r>
      <w:r w:rsidR="5DC6F90B" w:rsidRPr="00CA13FE">
        <w:rPr>
          <w:rFonts w:ascii="Calibri" w:eastAsia="Calibri" w:hAnsi="Calibri" w:cs="Calibri"/>
        </w:rPr>
        <w:t>,</w:t>
      </w:r>
      <w:r w:rsidRPr="00CA13FE">
        <w:rPr>
          <w:rFonts w:ascii="Calibri" w:eastAsia="Calibri" w:hAnsi="Calibri" w:cs="Calibri"/>
        </w:rPr>
        <w:t xml:space="preserve"> et al</w:t>
      </w:r>
      <w:r w:rsidR="0BA4A5F9" w:rsidRPr="00CA13FE">
        <w:rPr>
          <w:rFonts w:ascii="Calibri" w:eastAsia="Calibri" w:hAnsi="Calibri" w:cs="Calibri"/>
        </w:rPr>
        <w:t>.</w:t>
      </w:r>
      <w:r w:rsidRPr="00CA13FE">
        <w:rPr>
          <w:rFonts w:ascii="Calibri" w:eastAsia="Calibri" w:hAnsi="Calibri" w:cs="Calibri"/>
        </w:rPr>
        <w:t xml:space="preserve"> </w:t>
      </w:r>
      <w:r w:rsidRPr="00CA13FE">
        <w:rPr>
          <w:rFonts w:ascii="Calibri" w:eastAsia="Calibri" w:hAnsi="Calibri" w:cs="Calibri"/>
          <w:lang w:val="en-GB"/>
        </w:rPr>
        <w:t>Risk of SARS-CoV-2 infection and subsequent hospital admission and death at different time intervals since first dose of COVID-19 vaccine administration, Italy, 27 December 2020 to mid-April 2021. Euro Surveill. 2021;26(25):pii=2100507</w:t>
      </w:r>
    </w:p>
    <w:p w14:paraId="20AB5483" w14:textId="6B81E497" w:rsidR="1C3EA32C" w:rsidRPr="00CA13FE" w:rsidRDefault="1C3EA32C" w:rsidP="00C2118E">
      <w:pPr>
        <w:pStyle w:val="Paragrafoelenco"/>
        <w:numPr>
          <w:ilvl w:val="0"/>
          <w:numId w:val="4"/>
        </w:numPr>
        <w:ind w:left="426"/>
        <w:rPr>
          <w:rFonts w:ascii="Calibri" w:eastAsia="Calibri" w:hAnsi="Calibri" w:cs="Calibri"/>
          <w:lang w:val="en-GB"/>
        </w:rPr>
      </w:pPr>
      <w:r w:rsidRPr="00E63BDB">
        <w:rPr>
          <w:rFonts w:ascii="Calibri" w:eastAsia="Calibri" w:hAnsi="Calibri" w:cs="Calibri"/>
          <w:lang w:val="en-GB"/>
        </w:rPr>
        <w:t xml:space="preserve">Emerging Topics: Synopsis of COVID-19 Key Research Articles. </w:t>
      </w:r>
      <w:r w:rsidRPr="00CA13FE">
        <w:rPr>
          <w:rFonts w:ascii="Calibri" w:eastAsia="Calibri" w:hAnsi="Calibri" w:cs="Calibri"/>
          <w:lang w:val="en-GB"/>
        </w:rPr>
        <w:t>Public Health Ontario.</w:t>
      </w:r>
      <w:r w:rsidR="672C8303" w:rsidRPr="00CA13FE">
        <w:rPr>
          <w:rFonts w:ascii="Calibri" w:eastAsia="Calibri" w:hAnsi="Calibri" w:cs="Calibri"/>
          <w:lang w:val="en-GB"/>
        </w:rPr>
        <w:t xml:space="preserve"> </w:t>
      </w:r>
      <w:r w:rsidRPr="00CA13FE">
        <w:rPr>
          <w:rFonts w:ascii="Calibri" w:eastAsia="Calibri" w:hAnsi="Calibri" w:cs="Calibri"/>
          <w:lang w:val="en-GB"/>
        </w:rPr>
        <w:t>Available at:</w:t>
      </w:r>
      <w:r w:rsidR="004C1190" w:rsidRPr="00CA13FE">
        <w:rPr>
          <w:rFonts w:ascii="Calibri" w:eastAsia="Calibri" w:hAnsi="Calibri" w:cs="Calibri"/>
          <w:lang w:val="en-GB"/>
        </w:rPr>
        <w:t xml:space="preserve"> </w:t>
      </w:r>
      <w:r w:rsidRPr="00CA13FE">
        <w:rPr>
          <w:rFonts w:ascii="Calibri" w:eastAsia="Calibri" w:hAnsi="Calibri" w:cs="Calibri"/>
          <w:lang w:val="en-GB"/>
        </w:rPr>
        <w:t>https://www.publichealthontario.ca/en/diseases-and-conditions/infectious-diseases/respiratory-diseases/novel-coronavirus/articles</w:t>
      </w:r>
    </w:p>
    <w:p w14:paraId="0D45632E" w14:textId="19117FE8" w:rsidR="7CD725DD" w:rsidRPr="00CA13FE" w:rsidRDefault="00912D2D" w:rsidP="00C2118E">
      <w:pPr>
        <w:pStyle w:val="Paragrafoelenco"/>
        <w:numPr>
          <w:ilvl w:val="0"/>
          <w:numId w:val="4"/>
        </w:numPr>
        <w:spacing w:line="257" w:lineRule="auto"/>
        <w:ind w:left="426"/>
        <w:rPr>
          <w:rFonts w:ascii="Calibri" w:eastAsia="Calibri" w:hAnsi="Calibri" w:cs="Calibri"/>
        </w:rPr>
      </w:pPr>
      <w:r w:rsidRPr="00C03A2A">
        <w:rPr>
          <w:rFonts w:ascii="Calibri" w:eastAsia="Calibri" w:hAnsi="Calibri" w:cs="Calibri"/>
        </w:rPr>
        <w:t xml:space="preserve">Istituto Superiore di Sanità. </w:t>
      </w:r>
      <w:r w:rsidR="0017DB12" w:rsidRPr="00C03A2A">
        <w:rPr>
          <w:rFonts w:ascii="Calibri" w:eastAsia="Calibri" w:hAnsi="Calibri" w:cs="Calibri"/>
        </w:rPr>
        <w:t>Pr</w:t>
      </w:r>
      <w:r w:rsidR="0017DB12" w:rsidRPr="00CA13FE">
        <w:rPr>
          <w:rFonts w:ascii="Calibri" w:eastAsia="Calibri" w:hAnsi="Calibri" w:cs="Calibri"/>
        </w:rPr>
        <w:t>evalenza e distribuzione delle varianti di SARS-CoV-2 di interesse per la sanità pubblica in Italia. Rapporto n. 9 del 17 settembre 2021</w:t>
      </w:r>
      <w:r w:rsidR="5D5A75DB" w:rsidRPr="00CA13FE">
        <w:rPr>
          <w:rFonts w:ascii="Calibri" w:eastAsia="Calibri" w:hAnsi="Calibri" w:cs="Calibri"/>
        </w:rPr>
        <w:t xml:space="preserve"> (in Italian). Ava</w:t>
      </w:r>
      <w:r w:rsidR="52C8A39B" w:rsidRPr="00CA13FE">
        <w:rPr>
          <w:rFonts w:ascii="Calibri" w:eastAsia="Calibri" w:hAnsi="Calibri" w:cs="Calibri"/>
        </w:rPr>
        <w:t>i</w:t>
      </w:r>
      <w:r w:rsidR="5D5A75DB" w:rsidRPr="00CA13FE">
        <w:rPr>
          <w:rFonts w:ascii="Calibri" w:eastAsia="Calibri" w:hAnsi="Calibri" w:cs="Calibri"/>
        </w:rPr>
        <w:t>lable at:</w:t>
      </w:r>
      <w:r w:rsidR="00560AFB" w:rsidRPr="00CA13FE">
        <w:rPr>
          <w:rFonts w:ascii="Calibri" w:eastAsia="Calibri" w:hAnsi="Calibri" w:cs="Calibri"/>
        </w:rPr>
        <w:t xml:space="preserve"> </w:t>
      </w:r>
      <w:hyperlink r:id="rId28">
        <w:r w:rsidR="516C514D" w:rsidRPr="00CA13FE">
          <w:t>https://www.iss.it/documents/20126/0/Bollettino+varianti+n.+9_17+settembre+2021.pdf/484b7aa2-2c0c-b109-4c31-087ed5c7b5af?t=1631890444760</w:t>
        </w:r>
      </w:hyperlink>
    </w:p>
    <w:p w14:paraId="28B37DB3" w14:textId="4CA6AB5D" w:rsidR="7CD725DD" w:rsidRPr="001A4B3C" w:rsidRDefault="00912D2D" w:rsidP="00C2118E">
      <w:pPr>
        <w:pStyle w:val="Paragrafoelenco"/>
        <w:numPr>
          <w:ilvl w:val="0"/>
          <w:numId w:val="4"/>
        </w:numPr>
        <w:ind w:left="426"/>
      </w:pPr>
      <w:r w:rsidRPr="00C03A2A">
        <w:rPr>
          <w:rFonts w:ascii="Calibri" w:eastAsia="Calibri" w:hAnsi="Calibri" w:cs="Calibri"/>
        </w:rPr>
        <w:t xml:space="preserve">Istituto Superiore di Sanità. </w:t>
      </w:r>
      <w:r w:rsidR="478F0B87" w:rsidRPr="00CA13FE">
        <w:rPr>
          <w:rFonts w:ascii="Calibri" w:eastAsia="Calibri" w:hAnsi="Calibri" w:cs="Calibri"/>
        </w:rPr>
        <w:t xml:space="preserve">Epicentro. </w:t>
      </w:r>
      <w:r w:rsidR="43DC0609" w:rsidRPr="00CA13FE">
        <w:rPr>
          <w:rFonts w:ascii="Calibri" w:eastAsia="Calibri" w:hAnsi="Calibri" w:cs="Calibri"/>
        </w:rPr>
        <w:t>Impatto della vaccinazione COVID-19 sul rischio di infezione da SARS-CoV-2 e successivo ricovero e decesso in Italia.</w:t>
      </w:r>
      <w:r w:rsidR="16BF7BC5" w:rsidRPr="00CA13FE">
        <w:rPr>
          <w:rFonts w:ascii="Calibri" w:eastAsia="Calibri" w:hAnsi="Calibri" w:cs="Calibri"/>
        </w:rPr>
        <w:t xml:space="preserve"> Archivio rapporti.</w:t>
      </w:r>
      <w:r w:rsidR="6B68C793" w:rsidRPr="00CA13FE">
        <w:rPr>
          <w:rFonts w:ascii="Calibri" w:eastAsia="Calibri" w:hAnsi="Calibri" w:cs="Calibri"/>
        </w:rPr>
        <w:t xml:space="preserve"> </w:t>
      </w:r>
      <w:hyperlink r:id="rId29" w:history="1">
        <w:r w:rsidR="457235E7" w:rsidRPr="00C03A2A">
          <w:rPr>
            <w:rStyle w:val="Collegamentoipertestuale"/>
            <w:rFonts w:ascii="Calibri" w:eastAsia="Calibri" w:hAnsi="Calibri" w:cs="Calibri"/>
          </w:rPr>
          <w:t>https://www.epicentro.iss.it/vaccini/covid-19-report-valutazione-vaccinazione-archivio</w:t>
        </w:r>
      </w:hyperlink>
    </w:p>
    <w:p w14:paraId="3D6B4C18" w14:textId="0D9F9068" w:rsidR="7CD725DD" w:rsidRPr="00CA13FE" w:rsidRDefault="4C9C31B5" w:rsidP="00C2118E">
      <w:pPr>
        <w:pStyle w:val="Paragrafoelenco"/>
        <w:numPr>
          <w:ilvl w:val="0"/>
          <w:numId w:val="4"/>
        </w:numPr>
        <w:ind w:left="426"/>
        <w:rPr>
          <w:rFonts w:ascii="Calibri" w:eastAsia="Calibri" w:hAnsi="Calibri" w:cs="Calibri"/>
        </w:rPr>
      </w:pPr>
      <w:r w:rsidRPr="00CA13FE">
        <w:rPr>
          <w:rFonts w:ascii="Calibri" w:eastAsia="Calibri" w:hAnsi="Calibri" w:cs="Calibri"/>
        </w:rPr>
        <w:t xml:space="preserve">Riccardo F, Ajelli M, Andrianou X D, et al. </w:t>
      </w:r>
      <w:r w:rsidRPr="00CA13FE">
        <w:rPr>
          <w:rFonts w:ascii="Calibri" w:eastAsia="Calibri" w:hAnsi="Calibri" w:cs="Calibri"/>
          <w:lang w:val="en-GB"/>
        </w:rPr>
        <w:t xml:space="preserve">Epidemiological characteristics of COVID-19 cases and estimates of the reproductive numbers 1 month into the epidemic, Italy, 28 January to 31 March 2020. </w:t>
      </w:r>
      <w:r w:rsidRPr="00CA13FE">
        <w:rPr>
          <w:rFonts w:ascii="Calibri" w:eastAsia="Calibri" w:hAnsi="Calibri" w:cs="Calibri"/>
        </w:rPr>
        <w:t>Euro Surveill. 2020;25(49):pii=2000790</w:t>
      </w:r>
    </w:p>
    <w:p w14:paraId="35DFDE5D" w14:textId="435EB990" w:rsidR="5D02F74D" w:rsidRPr="00C85FB5" w:rsidRDefault="526E6132" w:rsidP="00C2118E">
      <w:pPr>
        <w:pStyle w:val="Paragrafoelenco"/>
        <w:numPr>
          <w:ilvl w:val="0"/>
          <w:numId w:val="4"/>
        </w:numPr>
        <w:spacing w:line="257" w:lineRule="auto"/>
        <w:ind w:left="426"/>
        <w:rPr>
          <w:rFonts w:ascii="Calibri" w:eastAsia="Calibri" w:hAnsi="Calibri" w:cs="Calibri"/>
        </w:rPr>
      </w:pPr>
      <w:r w:rsidRPr="00C85FB5">
        <w:rPr>
          <w:rFonts w:ascii="Calibri" w:eastAsia="Calibri" w:hAnsi="Calibri" w:cs="Calibri"/>
          <w:color w:val="000000" w:themeColor="text1"/>
        </w:rPr>
        <w:t xml:space="preserve">Ministero della </w:t>
      </w:r>
      <w:r w:rsidR="3DF2534B" w:rsidRPr="00C85FB5">
        <w:rPr>
          <w:rFonts w:ascii="Calibri" w:eastAsia="Calibri" w:hAnsi="Calibri" w:cs="Calibri"/>
          <w:color w:val="000000" w:themeColor="text1"/>
        </w:rPr>
        <w:t>S</w:t>
      </w:r>
      <w:r w:rsidRPr="00C85FB5">
        <w:rPr>
          <w:rFonts w:ascii="Calibri" w:eastAsia="Calibri" w:hAnsi="Calibri" w:cs="Calibri"/>
          <w:color w:val="000000" w:themeColor="text1"/>
        </w:rPr>
        <w:t>alute. Anagrafe nazionale vaccini</w:t>
      </w:r>
      <w:r w:rsidR="00C85FB5" w:rsidRPr="00C85FB5">
        <w:rPr>
          <w:rFonts w:ascii="Calibri" w:eastAsia="Calibri" w:hAnsi="Calibri" w:cs="Calibri"/>
          <w:color w:val="000000" w:themeColor="text1"/>
        </w:rPr>
        <w:t xml:space="preserve"> </w:t>
      </w:r>
      <w:hyperlink r:id="rId30">
        <w:r w:rsidRPr="00C85FB5">
          <w:rPr>
            <w:rStyle w:val="Collegamentoipertestuale"/>
            <w:rFonts w:ascii="Calibri" w:eastAsia="Calibri" w:hAnsi="Calibri" w:cs="Calibri"/>
          </w:rPr>
          <w:t>https://www.salute.gov.it/portale/vaccinazioni/dettaglioContenutiVaccinazioni.jsp?lingua=italiano&amp;id=5067&amp;area=vaccinazioni&amp;menu=vuoto</w:t>
        </w:r>
      </w:hyperlink>
    </w:p>
    <w:p w14:paraId="39633D91" w14:textId="0DB921A5" w:rsidR="40A3BE75" w:rsidRPr="009B4456" w:rsidRDefault="6141662D" w:rsidP="00C2118E">
      <w:pPr>
        <w:pStyle w:val="Paragrafoelenco"/>
        <w:numPr>
          <w:ilvl w:val="0"/>
          <w:numId w:val="4"/>
        </w:numPr>
        <w:spacing w:line="257" w:lineRule="auto"/>
        <w:ind w:left="426"/>
        <w:rPr>
          <w:rStyle w:val="Collegamentoipertestuale"/>
          <w:rFonts w:ascii="Calibri" w:eastAsia="Calibri" w:hAnsi="Calibri" w:cs="Calibri"/>
          <w:color w:val="auto"/>
          <w:u w:val="none"/>
        </w:rPr>
      </w:pPr>
      <w:r w:rsidRPr="00C85FB5">
        <w:rPr>
          <w:rFonts w:ascii="Calibri" w:eastAsia="Calibri" w:hAnsi="Calibri" w:cs="Calibri"/>
        </w:rPr>
        <w:t xml:space="preserve">Istituto </w:t>
      </w:r>
      <w:r w:rsidR="332B9066" w:rsidRPr="00C85FB5">
        <w:rPr>
          <w:rFonts w:ascii="Calibri" w:eastAsia="Calibri" w:hAnsi="Calibri" w:cs="Calibri"/>
        </w:rPr>
        <w:t>N</w:t>
      </w:r>
      <w:r w:rsidRPr="00C85FB5">
        <w:rPr>
          <w:rFonts w:ascii="Calibri" w:eastAsia="Calibri" w:hAnsi="Calibri" w:cs="Calibri"/>
        </w:rPr>
        <w:t xml:space="preserve">azionale di </w:t>
      </w:r>
      <w:r w:rsidR="10EEE344" w:rsidRPr="00C85FB5">
        <w:rPr>
          <w:rFonts w:ascii="Calibri" w:eastAsia="Calibri" w:hAnsi="Calibri" w:cs="Calibri"/>
        </w:rPr>
        <w:t>S</w:t>
      </w:r>
      <w:r w:rsidRPr="00C85FB5">
        <w:rPr>
          <w:rFonts w:ascii="Calibri" w:eastAsia="Calibri" w:hAnsi="Calibri" w:cs="Calibri"/>
        </w:rPr>
        <w:t xml:space="preserve">tatistica. </w:t>
      </w:r>
      <w:r w:rsidR="15EE62FB" w:rsidRPr="00C85FB5">
        <w:rPr>
          <w:rFonts w:ascii="Calibri" w:eastAsia="Calibri" w:hAnsi="Calibri" w:cs="Calibri"/>
        </w:rPr>
        <w:t>I.Stat Tavole di mortalità</w:t>
      </w:r>
      <w:r w:rsidR="0C80CDAA" w:rsidRPr="00C85FB5">
        <w:rPr>
          <w:rFonts w:ascii="Calibri" w:eastAsia="Calibri" w:hAnsi="Calibri" w:cs="Calibri"/>
        </w:rPr>
        <w:t xml:space="preserve"> </w:t>
      </w:r>
      <w:hyperlink r:id="rId31">
        <w:r w:rsidR="0C80CDAA" w:rsidRPr="00C85FB5">
          <w:rPr>
            <w:rStyle w:val="Collegamentoipertestuale"/>
            <w:rFonts w:ascii="Calibri" w:eastAsia="Calibri" w:hAnsi="Calibri" w:cs="Calibri"/>
          </w:rPr>
          <w:t>http://dati.istat.it/Index.aspx?DataSetCode=DCIS_MORTALITA1</w:t>
        </w:r>
      </w:hyperlink>
    </w:p>
    <w:p w14:paraId="792F4065" w14:textId="15CF8132" w:rsidR="009B4456" w:rsidRPr="00CB37D8" w:rsidRDefault="009B4456" w:rsidP="00C2118E">
      <w:pPr>
        <w:pStyle w:val="Paragrafoelenco"/>
        <w:numPr>
          <w:ilvl w:val="0"/>
          <w:numId w:val="4"/>
        </w:numPr>
        <w:spacing w:line="257" w:lineRule="auto"/>
        <w:ind w:left="426"/>
        <w:rPr>
          <w:lang w:val="en-US"/>
        </w:rPr>
      </w:pPr>
      <w:r w:rsidRPr="009B4456">
        <w:rPr>
          <w:lang w:val="en-GB"/>
        </w:rPr>
        <w:t xml:space="preserve">Boyarsky BJ, Werbel WA, Avery RK, et al. </w:t>
      </w:r>
      <w:r w:rsidRPr="001A4B3C">
        <w:rPr>
          <w:lang w:val="en-GB"/>
        </w:rPr>
        <w:t xml:space="preserve">Antibody response to 2-dose SARS-CoV-2 mRNA vaccine series in solid organ transplant recipients. </w:t>
      </w:r>
      <w:r w:rsidRPr="00CB37D8">
        <w:rPr>
          <w:lang w:val="en-US"/>
        </w:rPr>
        <w:t>JAMA 2021;325:2204-2206.</w:t>
      </w:r>
    </w:p>
    <w:p w14:paraId="05E17314" w14:textId="5FEB027A" w:rsidR="009B4456" w:rsidRPr="00B01B02" w:rsidRDefault="009B4456" w:rsidP="00C2118E">
      <w:pPr>
        <w:pStyle w:val="Paragrafoelenco"/>
        <w:numPr>
          <w:ilvl w:val="0"/>
          <w:numId w:val="4"/>
        </w:numPr>
        <w:spacing w:line="257" w:lineRule="auto"/>
        <w:ind w:left="426"/>
        <w:rPr>
          <w:rFonts w:ascii="Calibri" w:eastAsia="Calibri" w:hAnsi="Calibri" w:cs="Calibri"/>
        </w:rPr>
      </w:pPr>
      <w:r w:rsidRPr="009B4456">
        <w:t xml:space="preserve">Marion O, Del Bello A, Abravanel F, et al. </w:t>
      </w:r>
      <w:r w:rsidRPr="001A4B3C">
        <w:rPr>
          <w:lang w:val="en-GB"/>
        </w:rPr>
        <w:t xml:space="preserve">Safety and immunogenicity of anti-SARS-CoV-2 messenger RNA vaccines in recipients of solid organ transplants. </w:t>
      </w:r>
      <w:r w:rsidRPr="009B4456">
        <w:t>Ann Intern Med 2021 May 25 (Epub ahead of print).</w:t>
      </w:r>
    </w:p>
    <w:p w14:paraId="283B5917" w14:textId="5A2F5EFA" w:rsidR="0051034D" w:rsidRPr="00F72F33" w:rsidRDefault="0051034D" w:rsidP="00C2118E">
      <w:pPr>
        <w:pStyle w:val="Paragrafoelenco"/>
        <w:numPr>
          <w:ilvl w:val="0"/>
          <w:numId w:val="4"/>
        </w:numPr>
        <w:spacing w:line="257" w:lineRule="auto"/>
        <w:ind w:left="426"/>
        <w:rPr>
          <w:lang w:val="en-GB"/>
        </w:rPr>
      </w:pPr>
      <w:r w:rsidRPr="00F72F33">
        <w:rPr>
          <w:lang w:val="en-GB"/>
        </w:rPr>
        <w:t xml:space="preserve">Delta coronavirus variant: scientists brace for impact. Nature News. </w:t>
      </w:r>
      <w:hyperlink r:id="rId32" w:history="1">
        <w:r w:rsidR="006B6F19" w:rsidRPr="00C03A2A">
          <w:rPr>
            <w:rStyle w:val="Collegamentoipertestuale"/>
            <w:lang w:val="en-GB"/>
          </w:rPr>
          <w:t>https://www.nature.com/articles/d41586-021-01696-3</w:t>
        </w:r>
      </w:hyperlink>
    </w:p>
    <w:p w14:paraId="7D00729C" w14:textId="35589A53" w:rsidR="45BE2E14" w:rsidRPr="00C03A2A" w:rsidRDefault="00751781" w:rsidP="00C2118E">
      <w:pPr>
        <w:pStyle w:val="Paragrafoelenco"/>
        <w:numPr>
          <w:ilvl w:val="0"/>
          <w:numId w:val="4"/>
        </w:numPr>
        <w:spacing w:line="257" w:lineRule="auto"/>
        <w:ind w:left="426"/>
      </w:pPr>
      <w:r w:rsidRPr="00C03A2A">
        <w:lastRenderedPageBreak/>
        <w:t xml:space="preserve">Istituto Superiore di Sanità. Epicentro. Epidemia COVID-19 - Aggiornamento nazionale 29 settembre 2021. </w:t>
      </w:r>
      <w:hyperlink r:id="rId33" w:history="1">
        <w:r w:rsidRPr="00C03A2A">
          <w:rPr>
            <w:rStyle w:val="Collegamentoipertestuale"/>
          </w:rPr>
          <w:t>https://www.epicentro.iss.it/coronavirus/bollettino/Bollettino-sorveglianza-integrata-COVID-19_29-settembre-2021.pdf</w:t>
        </w:r>
      </w:hyperlink>
    </w:p>
    <w:sectPr w:rsidR="45BE2E14" w:rsidRPr="00C03A2A" w:rsidSect="006F71ED">
      <w:pgSz w:w="12240" w:h="15840"/>
      <w:pgMar w:top="1134"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3F595" w14:textId="77777777" w:rsidR="005F1692" w:rsidRDefault="005F1692">
      <w:pPr>
        <w:spacing w:after="0" w:line="240" w:lineRule="auto"/>
      </w:pPr>
      <w:r>
        <w:separator/>
      </w:r>
    </w:p>
  </w:endnote>
  <w:endnote w:type="continuationSeparator" w:id="0">
    <w:p w14:paraId="69E0CBBE" w14:textId="77777777" w:rsidR="005F1692" w:rsidRDefault="005F1692">
      <w:pPr>
        <w:spacing w:after="0" w:line="240" w:lineRule="auto"/>
      </w:pPr>
      <w:r>
        <w:continuationSeparator/>
      </w:r>
    </w:p>
  </w:endnote>
  <w:endnote w:type="continuationNotice" w:id="1">
    <w:p w14:paraId="2A11020F" w14:textId="77777777" w:rsidR="005F1692" w:rsidRDefault="005F16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4C87D" w14:textId="77777777" w:rsidR="00901BF3" w:rsidRDefault="00901BF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428270"/>
      <w:docPartObj>
        <w:docPartGallery w:val="Page Numbers (Bottom of Page)"/>
        <w:docPartUnique/>
      </w:docPartObj>
    </w:sdtPr>
    <w:sdtEndPr/>
    <w:sdtContent>
      <w:p w14:paraId="0C6E774A" w14:textId="5A10A578" w:rsidR="00901BF3" w:rsidRDefault="00901BF3">
        <w:pPr>
          <w:pStyle w:val="Pidipagina"/>
          <w:jc w:val="center"/>
        </w:pPr>
        <w:r>
          <w:fldChar w:fldCharType="begin"/>
        </w:r>
        <w:r>
          <w:instrText>PAGE   \* MERGEFORMAT</w:instrText>
        </w:r>
        <w:r>
          <w:fldChar w:fldCharType="separate"/>
        </w:r>
        <w:r w:rsidR="00C91238" w:rsidRPr="00C91238">
          <w:rPr>
            <w:noProof/>
            <w:lang w:val="it-IT"/>
          </w:rPr>
          <w:t>5</w:t>
        </w:r>
        <w:r>
          <w:fldChar w:fldCharType="end"/>
        </w:r>
      </w:p>
    </w:sdtContent>
  </w:sdt>
  <w:p w14:paraId="0D72F96F" w14:textId="77777777" w:rsidR="00901BF3" w:rsidRDefault="00901BF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E6448" w14:textId="77777777" w:rsidR="00901BF3" w:rsidRDefault="00901BF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21A74" w14:textId="77777777" w:rsidR="005F1692" w:rsidRDefault="005F1692">
      <w:pPr>
        <w:spacing w:after="0" w:line="240" w:lineRule="auto"/>
      </w:pPr>
      <w:r>
        <w:separator/>
      </w:r>
    </w:p>
  </w:footnote>
  <w:footnote w:type="continuationSeparator" w:id="0">
    <w:p w14:paraId="512DF2CA" w14:textId="77777777" w:rsidR="005F1692" w:rsidRDefault="005F1692">
      <w:pPr>
        <w:spacing w:after="0" w:line="240" w:lineRule="auto"/>
      </w:pPr>
      <w:r>
        <w:continuationSeparator/>
      </w:r>
    </w:p>
  </w:footnote>
  <w:footnote w:type="continuationNotice" w:id="1">
    <w:p w14:paraId="1ADC75EE" w14:textId="77777777" w:rsidR="005F1692" w:rsidRDefault="005F16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81630" w14:textId="7125889F" w:rsidR="00901BF3" w:rsidRDefault="00901BF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E52B4" w14:textId="1B6539B6" w:rsidR="00901BF3" w:rsidRPr="00691EB9" w:rsidRDefault="00901BF3" w:rsidP="00272A84">
    <w:pPr>
      <w:pStyle w:val="Intestazione"/>
      <w:pBdr>
        <w:bottom w:val="single" w:sz="4" w:space="1" w:color="auto"/>
      </w:pBdr>
      <w:tabs>
        <w:tab w:val="clear" w:pos="4819"/>
        <w:tab w:val="clear" w:pos="9638"/>
      </w:tabs>
      <w:rPr>
        <w:bCs/>
        <w:sz w:val="20"/>
        <w:szCs w:val="20"/>
      </w:rPr>
    </w:pPr>
    <w:r w:rsidRPr="00691EB9">
      <w:rPr>
        <w:bCs/>
        <w:sz w:val="20"/>
        <w:szCs w:val="20"/>
      </w:rPr>
      <w:t>Report N° 4</w:t>
    </w:r>
    <w:r w:rsidRPr="00691EB9">
      <w:rPr>
        <w:bCs/>
        <w:sz w:val="20"/>
        <w:szCs w:val="20"/>
      </w:rPr>
      <w:tab/>
    </w:r>
    <w:r w:rsidRPr="00691EB9">
      <w:rPr>
        <w:bCs/>
        <w:sz w:val="20"/>
        <w:szCs w:val="20"/>
      </w:rPr>
      <w:tab/>
    </w:r>
    <w:r w:rsidRPr="00691EB9">
      <w:rPr>
        <w:bCs/>
        <w:sz w:val="20"/>
        <w:szCs w:val="20"/>
      </w:rPr>
      <w:tab/>
    </w:r>
    <w:r w:rsidRPr="00691EB9">
      <w:rPr>
        <w:bCs/>
        <w:sz w:val="20"/>
        <w:szCs w:val="20"/>
      </w:rPr>
      <w:tab/>
    </w:r>
    <w:r w:rsidRPr="00691EB9">
      <w:rPr>
        <w:bCs/>
        <w:sz w:val="20"/>
        <w:szCs w:val="20"/>
      </w:rPr>
      <w:tab/>
    </w:r>
    <w:r w:rsidRPr="00691EB9">
      <w:rPr>
        <w:bCs/>
        <w:sz w:val="20"/>
        <w:szCs w:val="20"/>
      </w:rPr>
      <w:tab/>
    </w:r>
    <w:r w:rsidRPr="00691EB9">
      <w:rPr>
        <w:bCs/>
        <w:sz w:val="20"/>
        <w:szCs w:val="20"/>
      </w:rPr>
      <w:tab/>
    </w:r>
    <w:r w:rsidRPr="00691EB9">
      <w:rPr>
        <w:bCs/>
        <w:sz w:val="20"/>
        <w:szCs w:val="20"/>
      </w:rPr>
      <w:tab/>
    </w:r>
    <w:r w:rsidRPr="00691EB9">
      <w:rPr>
        <w:bCs/>
        <w:sz w:val="20"/>
        <w:szCs w:val="20"/>
      </w:rPr>
      <w:tab/>
    </w:r>
    <w:r w:rsidRPr="00691EB9">
      <w:rPr>
        <w:bCs/>
        <w:sz w:val="20"/>
        <w:szCs w:val="20"/>
      </w:rPr>
      <w:tab/>
    </w:r>
    <w:r>
      <w:rPr>
        <w:bCs/>
        <w:sz w:val="20"/>
        <w:szCs w:val="20"/>
      </w:rPr>
      <w:tab/>
      <w:t>30/09/2021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32630" w14:textId="07EED9C8" w:rsidR="00901BF3" w:rsidRPr="00691EB9" w:rsidRDefault="00901BF3" w:rsidP="00253AE8">
    <w:pPr>
      <w:pStyle w:val="Intestazione"/>
      <w:pBdr>
        <w:bottom w:val="single" w:sz="4" w:space="1" w:color="auto"/>
      </w:pBdr>
      <w:tabs>
        <w:tab w:val="clear" w:pos="4819"/>
        <w:tab w:val="clear" w:pos="9638"/>
      </w:tabs>
      <w:rPr>
        <w:bCs/>
        <w:sz w:val="20"/>
        <w:szCs w:val="20"/>
      </w:rPr>
    </w:pPr>
    <w:r w:rsidRPr="00691EB9">
      <w:rPr>
        <w:bCs/>
        <w:sz w:val="20"/>
        <w:szCs w:val="20"/>
      </w:rPr>
      <w:t>Report N° 4</w:t>
    </w:r>
    <w:r w:rsidRPr="00691EB9">
      <w:rPr>
        <w:bCs/>
        <w:sz w:val="20"/>
        <w:szCs w:val="20"/>
      </w:rPr>
      <w:tab/>
    </w:r>
    <w:r w:rsidRPr="00691EB9">
      <w:rPr>
        <w:bCs/>
        <w:sz w:val="20"/>
        <w:szCs w:val="20"/>
      </w:rPr>
      <w:tab/>
    </w:r>
    <w:r w:rsidRPr="00691EB9">
      <w:rPr>
        <w:bCs/>
        <w:sz w:val="20"/>
        <w:szCs w:val="20"/>
      </w:rPr>
      <w:tab/>
    </w:r>
    <w:r w:rsidRPr="00691EB9">
      <w:rPr>
        <w:bCs/>
        <w:sz w:val="20"/>
        <w:szCs w:val="20"/>
      </w:rPr>
      <w:tab/>
    </w:r>
    <w:r w:rsidRPr="00691EB9">
      <w:rPr>
        <w:bCs/>
        <w:sz w:val="20"/>
        <w:szCs w:val="20"/>
      </w:rPr>
      <w:tab/>
    </w:r>
    <w:r>
      <w:rPr>
        <w:bCs/>
        <w:sz w:val="20"/>
        <w:szCs w:val="20"/>
      </w:rPr>
      <w:tab/>
    </w:r>
    <w:r w:rsidRPr="00691EB9">
      <w:rPr>
        <w:bCs/>
        <w:sz w:val="20"/>
        <w:szCs w:val="20"/>
      </w:rPr>
      <w:tab/>
    </w:r>
    <w:r w:rsidRPr="00691EB9">
      <w:rPr>
        <w:bCs/>
        <w:sz w:val="20"/>
        <w:szCs w:val="20"/>
      </w:rPr>
      <w:tab/>
    </w:r>
    <w:r w:rsidRPr="00691EB9">
      <w:rPr>
        <w:bCs/>
        <w:sz w:val="20"/>
        <w:szCs w:val="20"/>
      </w:rPr>
      <w:tab/>
    </w:r>
    <w:r w:rsidRPr="00691EB9">
      <w:rPr>
        <w:bCs/>
        <w:sz w:val="20"/>
        <w:szCs w:val="20"/>
      </w:rPr>
      <w:tab/>
    </w:r>
    <w:r w:rsidRPr="00691EB9">
      <w:rPr>
        <w:bCs/>
        <w:sz w:val="20"/>
        <w:szCs w:val="20"/>
      </w:rPr>
      <w:tab/>
    </w:r>
    <w:r>
      <w:rPr>
        <w:bCs/>
        <w:sz w:val="20"/>
        <w:szCs w:val="20"/>
      </w:rPr>
      <w:t>30/09/2021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C18FD"/>
    <w:multiLevelType w:val="hybridMultilevel"/>
    <w:tmpl w:val="4FC6F4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7E62C4E"/>
    <w:multiLevelType w:val="hybridMultilevel"/>
    <w:tmpl w:val="DA020728"/>
    <w:lvl w:ilvl="0" w:tplc="FD122D1E">
      <w:start w:val="1"/>
      <w:numFmt w:val="bullet"/>
      <w:lvlText w:val="•"/>
      <w:lvlJc w:val="left"/>
      <w:pPr>
        <w:tabs>
          <w:tab w:val="num" w:pos="720"/>
        </w:tabs>
        <w:ind w:left="720" w:hanging="360"/>
      </w:pPr>
      <w:rPr>
        <w:rFonts w:ascii="Arial" w:hAnsi="Arial" w:hint="default"/>
      </w:rPr>
    </w:lvl>
    <w:lvl w:ilvl="1" w:tplc="27265F20" w:tentative="1">
      <w:start w:val="1"/>
      <w:numFmt w:val="bullet"/>
      <w:lvlText w:val="•"/>
      <w:lvlJc w:val="left"/>
      <w:pPr>
        <w:tabs>
          <w:tab w:val="num" w:pos="1440"/>
        </w:tabs>
        <w:ind w:left="1440" w:hanging="360"/>
      </w:pPr>
      <w:rPr>
        <w:rFonts w:ascii="Arial" w:hAnsi="Arial" w:hint="default"/>
      </w:rPr>
    </w:lvl>
    <w:lvl w:ilvl="2" w:tplc="A4E4514A" w:tentative="1">
      <w:start w:val="1"/>
      <w:numFmt w:val="bullet"/>
      <w:lvlText w:val="•"/>
      <w:lvlJc w:val="left"/>
      <w:pPr>
        <w:tabs>
          <w:tab w:val="num" w:pos="2160"/>
        </w:tabs>
        <w:ind w:left="2160" w:hanging="360"/>
      </w:pPr>
      <w:rPr>
        <w:rFonts w:ascii="Arial" w:hAnsi="Arial" w:hint="default"/>
      </w:rPr>
    </w:lvl>
    <w:lvl w:ilvl="3" w:tplc="FC24899A" w:tentative="1">
      <w:start w:val="1"/>
      <w:numFmt w:val="bullet"/>
      <w:lvlText w:val="•"/>
      <w:lvlJc w:val="left"/>
      <w:pPr>
        <w:tabs>
          <w:tab w:val="num" w:pos="2880"/>
        </w:tabs>
        <w:ind w:left="2880" w:hanging="360"/>
      </w:pPr>
      <w:rPr>
        <w:rFonts w:ascii="Arial" w:hAnsi="Arial" w:hint="default"/>
      </w:rPr>
    </w:lvl>
    <w:lvl w:ilvl="4" w:tplc="427AC48E" w:tentative="1">
      <w:start w:val="1"/>
      <w:numFmt w:val="bullet"/>
      <w:lvlText w:val="•"/>
      <w:lvlJc w:val="left"/>
      <w:pPr>
        <w:tabs>
          <w:tab w:val="num" w:pos="3600"/>
        </w:tabs>
        <w:ind w:left="3600" w:hanging="360"/>
      </w:pPr>
      <w:rPr>
        <w:rFonts w:ascii="Arial" w:hAnsi="Arial" w:hint="default"/>
      </w:rPr>
    </w:lvl>
    <w:lvl w:ilvl="5" w:tplc="0BAC3FCE" w:tentative="1">
      <w:start w:val="1"/>
      <w:numFmt w:val="bullet"/>
      <w:lvlText w:val="•"/>
      <w:lvlJc w:val="left"/>
      <w:pPr>
        <w:tabs>
          <w:tab w:val="num" w:pos="4320"/>
        </w:tabs>
        <w:ind w:left="4320" w:hanging="360"/>
      </w:pPr>
      <w:rPr>
        <w:rFonts w:ascii="Arial" w:hAnsi="Arial" w:hint="default"/>
      </w:rPr>
    </w:lvl>
    <w:lvl w:ilvl="6" w:tplc="100AB046" w:tentative="1">
      <w:start w:val="1"/>
      <w:numFmt w:val="bullet"/>
      <w:lvlText w:val="•"/>
      <w:lvlJc w:val="left"/>
      <w:pPr>
        <w:tabs>
          <w:tab w:val="num" w:pos="5040"/>
        </w:tabs>
        <w:ind w:left="5040" w:hanging="360"/>
      </w:pPr>
      <w:rPr>
        <w:rFonts w:ascii="Arial" w:hAnsi="Arial" w:hint="default"/>
      </w:rPr>
    </w:lvl>
    <w:lvl w:ilvl="7" w:tplc="ED32431E" w:tentative="1">
      <w:start w:val="1"/>
      <w:numFmt w:val="bullet"/>
      <w:lvlText w:val="•"/>
      <w:lvlJc w:val="left"/>
      <w:pPr>
        <w:tabs>
          <w:tab w:val="num" w:pos="5760"/>
        </w:tabs>
        <w:ind w:left="5760" w:hanging="360"/>
      </w:pPr>
      <w:rPr>
        <w:rFonts w:ascii="Arial" w:hAnsi="Arial" w:hint="default"/>
      </w:rPr>
    </w:lvl>
    <w:lvl w:ilvl="8" w:tplc="23282B1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C8F7909"/>
    <w:multiLevelType w:val="hybridMultilevel"/>
    <w:tmpl w:val="A942DC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EDE6B4D"/>
    <w:multiLevelType w:val="hybridMultilevel"/>
    <w:tmpl w:val="7CB24588"/>
    <w:lvl w:ilvl="0" w:tplc="DE32CD6A">
      <w:numFmt w:val="bullet"/>
      <w:lvlText w:val=""/>
      <w:lvlJc w:val="left"/>
      <w:pPr>
        <w:ind w:left="416" w:hanging="284"/>
      </w:pPr>
      <w:rPr>
        <w:w w:val="100"/>
        <w:lang w:val="en-US" w:eastAsia="en-US" w:bidi="ar-SA"/>
      </w:rPr>
    </w:lvl>
    <w:lvl w:ilvl="1" w:tplc="0CF2E108">
      <w:numFmt w:val="bullet"/>
      <w:lvlText w:val="•"/>
      <w:lvlJc w:val="left"/>
      <w:pPr>
        <w:ind w:left="1408" w:hanging="284"/>
      </w:pPr>
      <w:rPr>
        <w:lang w:val="en-US" w:eastAsia="en-US" w:bidi="ar-SA"/>
      </w:rPr>
    </w:lvl>
    <w:lvl w:ilvl="2" w:tplc="8BCCBDB4">
      <w:numFmt w:val="bullet"/>
      <w:lvlText w:val="•"/>
      <w:lvlJc w:val="left"/>
      <w:pPr>
        <w:ind w:left="2397" w:hanging="284"/>
      </w:pPr>
      <w:rPr>
        <w:lang w:val="en-US" w:eastAsia="en-US" w:bidi="ar-SA"/>
      </w:rPr>
    </w:lvl>
    <w:lvl w:ilvl="3" w:tplc="21BA2942">
      <w:numFmt w:val="bullet"/>
      <w:lvlText w:val="•"/>
      <w:lvlJc w:val="left"/>
      <w:pPr>
        <w:ind w:left="3385" w:hanging="284"/>
      </w:pPr>
      <w:rPr>
        <w:lang w:val="en-US" w:eastAsia="en-US" w:bidi="ar-SA"/>
      </w:rPr>
    </w:lvl>
    <w:lvl w:ilvl="4" w:tplc="38963F92">
      <w:numFmt w:val="bullet"/>
      <w:lvlText w:val="•"/>
      <w:lvlJc w:val="left"/>
      <w:pPr>
        <w:ind w:left="4374" w:hanging="284"/>
      </w:pPr>
      <w:rPr>
        <w:lang w:val="en-US" w:eastAsia="en-US" w:bidi="ar-SA"/>
      </w:rPr>
    </w:lvl>
    <w:lvl w:ilvl="5" w:tplc="562AF61A">
      <w:numFmt w:val="bullet"/>
      <w:lvlText w:val="•"/>
      <w:lvlJc w:val="left"/>
      <w:pPr>
        <w:ind w:left="5363" w:hanging="284"/>
      </w:pPr>
      <w:rPr>
        <w:lang w:val="en-US" w:eastAsia="en-US" w:bidi="ar-SA"/>
      </w:rPr>
    </w:lvl>
    <w:lvl w:ilvl="6" w:tplc="ED3003E4">
      <w:numFmt w:val="bullet"/>
      <w:lvlText w:val="•"/>
      <w:lvlJc w:val="left"/>
      <w:pPr>
        <w:ind w:left="6351" w:hanging="284"/>
      </w:pPr>
      <w:rPr>
        <w:lang w:val="en-US" w:eastAsia="en-US" w:bidi="ar-SA"/>
      </w:rPr>
    </w:lvl>
    <w:lvl w:ilvl="7" w:tplc="B928DBAA">
      <w:numFmt w:val="bullet"/>
      <w:lvlText w:val="•"/>
      <w:lvlJc w:val="left"/>
      <w:pPr>
        <w:ind w:left="7340" w:hanging="284"/>
      </w:pPr>
      <w:rPr>
        <w:lang w:val="en-US" w:eastAsia="en-US" w:bidi="ar-SA"/>
      </w:rPr>
    </w:lvl>
    <w:lvl w:ilvl="8" w:tplc="C23E8074">
      <w:numFmt w:val="bullet"/>
      <w:lvlText w:val="•"/>
      <w:lvlJc w:val="left"/>
      <w:pPr>
        <w:ind w:left="8329" w:hanging="284"/>
      </w:pPr>
      <w:rPr>
        <w:lang w:val="en-US" w:eastAsia="en-US" w:bidi="ar-SA"/>
      </w:rPr>
    </w:lvl>
  </w:abstractNum>
  <w:abstractNum w:abstractNumId="4" w15:restartNumberingAfterBreak="0">
    <w:nsid w:val="4F5C423B"/>
    <w:multiLevelType w:val="hybridMultilevel"/>
    <w:tmpl w:val="39E46776"/>
    <w:lvl w:ilvl="0" w:tplc="7C86B68C">
      <w:start w:val="1"/>
      <w:numFmt w:val="bullet"/>
      <w:lvlText w:val="•"/>
      <w:lvlJc w:val="left"/>
      <w:pPr>
        <w:tabs>
          <w:tab w:val="num" w:pos="720"/>
        </w:tabs>
        <w:ind w:left="720" w:hanging="360"/>
      </w:pPr>
      <w:rPr>
        <w:rFonts w:ascii="Arial" w:hAnsi="Arial" w:hint="default"/>
      </w:rPr>
    </w:lvl>
    <w:lvl w:ilvl="1" w:tplc="B714F506" w:tentative="1">
      <w:start w:val="1"/>
      <w:numFmt w:val="bullet"/>
      <w:lvlText w:val="•"/>
      <w:lvlJc w:val="left"/>
      <w:pPr>
        <w:tabs>
          <w:tab w:val="num" w:pos="1440"/>
        </w:tabs>
        <w:ind w:left="1440" w:hanging="360"/>
      </w:pPr>
      <w:rPr>
        <w:rFonts w:ascii="Arial" w:hAnsi="Arial" w:hint="default"/>
      </w:rPr>
    </w:lvl>
    <w:lvl w:ilvl="2" w:tplc="A1E6874C" w:tentative="1">
      <w:start w:val="1"/>
      <w:numFmt w:val="bullet"/>
      <w:lvlText w:val="•"/>
      <w:lvlJc w:val="left"/>
      <w:pPr>
        <w:tabs>
          <w:tab w:val="num" w:pos="2160"/>
        </w:tabs>
        <w:ind w:left="2160" w:hanging="360"/>
      </w:pPr>
      <w:rPr>
        <w:rFonts w:ascii="Arial" w:hAnsi="Arial" w:hint="default"/>
      </w:rPr>
    </w:lvl>
    <w:lvl w:ilvl="3" w:tplc="187222BA" w:tentative="1">
      <w:start w:val="1"/>
      <w:numFmt w:val="bullet"/>
      <w:lvlText w:val="•"/>
      <w:lvlJc w:val="left"/>
      <w:pPr>
        <w:tabs>
          <w:tab w:val="num" w:pos="2880"/>
        </w:tabs>
        <w:ind w:left="2880" w:hanging="360"/>
      </w:pPr>
      <w:rPr>
        <w:rFonts w:ascii="Arial" w:hAnsi="Arial" w:hint="default"/>
      </w:rPr>
    </w:lvl>
    <w:lvl w:ilvl="4" w:tplc="B4080488" w:tentative="1">
      <w:start w:val="1"/>
      <w:numFmt w:val="bullet"/>
      <w:lvlText w:val="•"/>
      <w:lvlJc w:val="left"/>
      <w:pPr>
        <w:tabs>
          <w:tab w:val="num" w:pos="3600"/>
        </w:tabs>
        <w:ind w:left="3600" w:hanging="360"/>
      </w:pPr>
      <w:rPr>
        <w:rFonts w:ascii="Arial" w:hAnsi="Arial" w:hint="default"/>
      </w:rPr>
    </w:lvl>
    <w:lvl w:ilvl="5" w:tplc="34260944" w:tentative="1">
      <w:start w:val="1"/>
      <w:numFmt w:val="bullet"/>
      <w:lvlText w:val="•"/>
      <w:lvlJc w:val="left"/>
      <w:pPr>
        <w:tabs>
          <w:tab w:val="num" w:pos="4320"/>
        </w:tabs>
        <w:ind w:left="4320" w:hanging="360"/>
      </w:pPr>
      <w:rPr>
        <w:rFonts w:ascii="Arial" w:hAnsi="Arial" w:hint="default"/>
      </w:rPr>
    </w:lvl>
    <w:lvl w:ilvl="6" w:tplc="F6F834B0" w:tentative="1">
      <w:start w:val="1"/>
      <w:numFmt w:val="bullet"/>
      <w:lvlText w:val="•"/>
      <w:lvlJc w:val="left"/>
      <w:pPr>
        <w:tabs>
          <w:tab w:val="num" w:pos="5040"/>
        </w:tabs>
        <w:ind w:left="5040" w:hanging="360"/>
      </w:pPr>
      <w:rPr>
        <w:rFonts w:ascii="Arial" w:hAnsi="Arial" w:hint="default"/>
      </w:rPr>
    </w:lvl>
    <w:lvl w:ilvl="7" w:tplc="BECC2FA6" w:tentative="1">
      <w:start w:val="1"/>
      <w:numFmt w:val="bullet"/>
      <w:lvlText w:val="•"/>
      <w:lvlJc w:val="left"/>
      <w:pPr>
        <w:tabs>
          <w:tab w:val="num" w:pos="5760"/>
        </w:tabs>
        <w:ind w:left="5760" w:hanging="360"/>
      </w:pPr>
      <w:rPr>
        <w:rFonts w:ascii="Arial" w:hAnsi="Arial" w:hint="default"/>
      </w:rPr>
    </w:lvl>
    <w:lvl w:ilvl="8" w:tplc="4ADE79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DD426DC"/>
    <w:multiLevelType w:val="hybridMultilevel"/>
    <w:tmpl w:val="022481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66723D7"/>
    <w:multiLevelType w:val="hybridMultilevel"/>
    <w:tmpl w:val="5D448B70"/>
    <w:lvl w:ilvl="0" w:tplc="B40A7EDE">
      <w:start w:val="1"/>
      <w:numFmt w:val="bullet"/>
      <w:lvlText w:val="•"/>
      <w:lvlJc w:val="left"/>
      <w:pPr>
        <w:tabs>
          <w:tab w:val="num" w:pos="720"/>
        </w:tabs>
        <w:ind w:left="720" w:hanging="360"/>
      </w:pPr>
      <w:rPr>
        <w:rFonts w:ascii="Arial" w:hAnsi="Arial" w:hint="default"/>
      </w:rPr>
    </w:lvl>
    <w:lvl w:ilvl="1" w:tplc="A2A89F04" w:tentative="1">
      <w:start w:val="1"/>
      <w:numFmt w:val="bullet"/>
      <w:lvlText w:val="•"/>
      <w:lvlJc w:val="left"/>
      <w:pPr>
        <w:tabs>
          <w:tab w:val="num" w:pos="1440"/>
        </w:tabs>
        <w:ind w:left="1440" w:hanging="360"/>
      </w:pPr>
      <w:rPr>
        <w:rFonts w:ascii="Arial" w:hAnsi="Arial" w:hint="default"/>
      </w:rPr>
    </w:lvl>
    <w:lvl w:ilvl="2" w:tplc="F17EF9C8" w:tentative="1">
      <w:start w:val="1"/>
      <w:numFmt w:val="bullet"/>
      <w:lvlText w:val="•"/>
      <w:lvlJc w:val="left"/>
      <w:pPr>
        <w:tabs>
          <w:tab w:val="num" w:pos="2160"/>
        </w:tabs>
        <w:ind w:left="2160" w:hanging="360"/>
      </w:pPr>
      <w:rPr>
        <w:rFonts w:ascii="Arial" w:hAnsi="Arial" w:hint="default"/>
      </w:rPr>
    </w:lvl>
    <w:lvl w:ilvl="3" w:tplc="FC90E618" w:tentative="1">
      <w:start w:val="1"/>
      <w:numFmt w:val="bullet"/>
      <w:lvlText w:val="•"/>
      <w:lvlJc w:val="left"/>
      <w:pPr>
        <w:tabs>
          <w:tab w:val="num" w:pos="2880"/>
        </w:tabs>
        <w:ind w:left="2880" w:hanging="360"/>
      </w:pPr>
      <w:rPr>
        <w:rFonts w:ascii="Arial" w:hAnsi="Arial" w:hint="default"/>
      </w:rPr>
    </w:lvl>
    <w:lvl w:ilvl="4" w:tplc="CF4AE080" w:tentative="1">
      <w:start w:val="1"/>
      <w:numFmt w:val="bullet"/>
      <w:lvlText w:val="•"/>
      <w:lvlJc w:val="left"/>
      <w:pPr>
        <w:tabs>
          <w:tab w:val="num" w:pos="3600"/>
        </w:tabs>
        <w:ind w:left="3600" w:hanging="360"/>
      </w:pPr>
      <w:rPr>
        <w:rFonts w:ascii="Arial" w:hAnsi="Arial" w:hint="default"/>
      </w:rPr>
    </w:lvl>
    <w:lvl w:ilvl="5" w:tplc="43D6DC8E" w:tentative="1">
      <w:start w:val="1"/>
      <w:numFmt w:val="bullet"/>
      <w:lvlText w:val="•"/>
      <w:lvlJc w:val="left"/>
      <w:pPr>
        <w:tabs>
          <w:tab w:val="num" w:pos="4320"/>
        </w:tabs>
        <w:ind w:left="4320" w:hanging="360"/>
      </w:pPr>
      <w:rPr>
        <w:rFonts w:ascii="Arial" w:hAnsi="Arial" w:hint="default"/>
      </w:rPr>
    </w:lvl>
    <w:lvl w:ilvl="6" w:tplc="CCAEC51E" w:tentative="1">
      <w:start w:val="1"/>
      <w:numFmt w:val="bullet"/>
      <w:lvlText w:val="•"/>
      <w:lvlJc w:val="left"/>
      <w:pPr>
        <w:tabs>
          <w:tab w:val="num" w:pos="5040"/>
        </w:tabs>
        <w:ind w:left="5040" w:hanging="360"/>
      </w:pPr>
      <w:rPr>
        <w:rFonts w:ascii="Arial" w:hAnsi="Arial" w:hint="default"/>
      </w:rPr>
    </w:lvl>
    <w:lvl w:ilvl="7" w:tplc="B8CE4522" w:tentative="1">
      <w:start w:val="1"/>
      <w:numFmt w:val="bullet"/>
      <w:lvlText w:val="•"/>
      <w:lvlJc w:val="left"/>
      <w:pPr>
        <w:tabs>
          <w:tab w:val="num" w:pos="5760"/>
        </w:tabs>
        <w:ind w:left="5760" w:hanging="360"/>
      </w:pPr>
      <w:rPr>
        <w:rFonts w:ascii="Arial" w:hAnsi="Arial" w:hint="default"/>
      </w:rPr>
    </w:lvl>
    <w:lvl w:ilvl="8" w:tplc="9930607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0"/>
  </w:num>
  <w:num w:numId="3">
    <w:abstractNumId w:val="5"/>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0" w:nlCheck="1" w:checkStyle="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defaultTabStop w:val="720"/>
  <w:hyphenationZone w:val="283"/>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815"/>
    <w:rsid w:val="000005B5"/>
    <w:rsid w:val="00000B7C"/>
    <w:rsid w:val="00000E6D"/>
    <w:rsid w:val="0000169F"/>
    <w:rsid w:val="0000175C"/>
    <w:rsid w:val="00001A9F"/>
    <w:rsid w:val="000028C6"/>
    <w:rsid w:val="00003CA5"/>
    <w:rsid w:val="000044CB"/>
    <w:rsid w:val="0000460C"/>
    <w:rsid w:val="00004D5D"/>
    <w:rsid w:val="0000523B"/>
    <w:rsid w:val="00005B3D"/>
    <w:rsid w:val="00005D43"/>
    <w:rsid w:val="0000608A"/>
    <w:rsid w:val="00006320"/>
    <w:rsid w:val="0000684E"/>
    <w:rsid w:val="00006DE0"/>
    <w:rsid w:val="00006FC7"/>
    <w:rsid w:val="00007353"/>
    <w:rsid w:val="00007738"/>
    <w:rsid w:val="00007E16"/>
    <w:rsid w:val="00007F25"/>
    <w:rsid w:val="00011D22"/>
    <w:rsid w:val="000129D9"/>
    <w:rsid w:val="000130D7"/>
    <w:rsid w:val="00014438"/>
    <w:rsid w:val="000153B0"/>
    <w:rsid w:val="00015967"/>
    <w:rsid w:val="0001716C"/>
    <w:rsid w:val="00020764"/>
    <w:rsid w:val="000211AF"/>
    <w:rsid w:val="00021E9B"/>
    <w:rsid w:val="0002253E"/>
    <w:rsid w:val="00022EA4"/>
    <w:rsid w:val="00023106"/>
    <w:rsid w:val="000248BC"/>
    <w:rsid w:val="0002520D"/>
    <w:rsid w:val="00025BA7"/>
    <w:rsid w:val="000262CF"/>
    <w:rsid w:val="00026331"/>
    <w:rsid w:val="000273FB"/>
    <w:rsid w:val="00027702"/>
    <w:rsid w:val="00030637"/>
    <w:rsid w:val="000314D5"/>
    <w:rsid w:val="00031AE6"/>
    <w:rsid w:val="0003236F"/>
    <w:rsid w:val="00032499"/>
    <w:rsid w:val="000327FB"/>
    <w:rsid w:val="0003417F"/>
    <w:rsid w:val="00034750"/>
    <w:rsid w:val="00035312"/>
    <w:rsid w:val="00035553"/>
    <w:rsid w:val="00036604"/>
    <w:rsid w:val="0003729F"/>
    <w:rsid w:val="00037AA6"/>
    <w:rsid w:val="00037AE3"/>
    <w:rsid w:val="00037D7D"/>
    <w:rsid w:val="00037FDB"/>
    <w:rsid w:val="0004002D"/>
    <w:rsid w:val="0004048C"/>
    <w:rsid w:val="000409F9"/>
    <w:rsid w:val="00040E22"/>
    <w:rsid w:val="000413B5"/>
    <w:rsid w:val="0004181A"/>
    <w:rsid w:val="00041CED"/>
    <w:rsid w:val="00042688"/>
    <w:rsid w:val="0004357A"/>
    <w:rsid w:val="00043A04"/>
    <w:rsid w:val="00043B25"/>
    <w:rsid w:val="00044074"/>
    <w:rsid w:val="000448AB"/>
    <w:rsid w:val="00044915"/>
    <w:rsid w:val="0004508D"/>
    <w:rsid w:val="000459C0"/>
    <w:rsid w:val="00045E83"/>
    <w:rsid w:val="000461DD"/>
    <w:rsid w:val="0004628E"/>
    <w:rsid w:val="0004644A"/>
    <w:rsid w:val="0004657E"/>
    <w:rsid w:val="00050124"/>
    <w:rsid w:val="0005064F"/>
    <w:rsid w:val="00050EE7"/>
    <w:rsid w:val="00050FF0"/>
    <w:rsid w:val="00051025"/>
    <w:rsid w:val="000515B5"/>
    <w:rsid w:val="000515B8"/>
    <w:rsid w:val="00051FF4"/>
    <w:rsid w:val="00052142"/>
    <w:rsid w:val="000524AA"/>
    <w:rsid w:val="00052881"/>
    <w:rsid w:val="0005299D"/>
    <w:rsid w:val="000539AE"/>
    <w:rsid w:val="00054634"/>
    <w:rsid w:val="00055032"/>
    <w:rsid w:val="00055A78"/>
    <w:rsid w:val="00055D42"/>
    <w:rsid w:val="000569EB"/>
    <w:rsid w:val="00056B03"/>
    <w:rsid w:val="000578B5"/>
    <w:rsid w:val="00057DBE"/>
    <w:rsid w:val="0006023B"/>
    <w:rsid w:val="00060795"/>
    <w:rsid w:val="00060D2A"/>
    <w:rsid w:val="00061764"/>
    <w:rsid w:val="0006358D"/>
    <w:rsid w:val="0006372F"/>
    <w:rsid w:val="0006441B"/>
    <w:rsid w:val="00064790"/>
    <w:rsid w:val="000657CA"/>
    <w:rsid w:val="000663EE"/>
    <w:rsid w:val="00066585"/>
    <w:rsid w:val="00067998"/>
    <w:rsid w:val="00067A3C"/>
    <w:rsid w:val="00067B93"/>
    <w:rsid w:val="0007095F"/>
    <w:rsid w:val="00070F64"/>
    <w:rsid w:val="00070FC0"/>
    <w:rsid w:val="00070FEF"/>
    <w:rsid w:val="00071410"/>
    <w:rsid w:val="000718C4"/>
    <w:rsid w:val="000726BF"/>
    <w:rsid w:val="00072843"/>
    <w:rsid w:val="000729B2"/>
    <w:rsid w:val="000732E5"/>
    <w:rsid w:val="0007344B"/>
    <w:rsid w:val="00074815"/>
    <w:rsid w:val="000751A8"/>
    <w:rsid w:val="0007727C"/>
    <w:rsid w:val="00077A31"/>
    <w:rsid w:val="00077CC4"/>
    <w:rsid w:val="00080B39"/>
    <w:rsid w:val="000827A7"/>
    <w:rsid w:val="00082B9A"/>
    <w:rsid w:val="000830C3"/>
    <w:rsid w:val="00083DBC"/>
    <w:rsid w:val="00083FED"/>
    <w:rsid w:val="000840EA"/>
    <w:rsid w:val="00084793"/>
    <w:rsid w:val="0008572E"/>
    <w:rsid w:val="00085C12"/>
    <w:rsid w:val="000860E8"/>
    <w:rsid w:val="000875D2"/>
    <w:rsid w:val="00087729"/>
    <w:rsid w:val="00088C7E"/>
    <w:rsid w:val="00090F10"/>
    <w:rsid w:val="000915E8"/>
    <w:rsid w:val="0009172B"/>
    <w:rsid w:val="00092021"/>
    <w:rsid w:val="00092F9C"/>
    <w:rsid w:val="00093186"/>
    <w:rsid w:val="000931E0"/>
    <w:rsid w:val="00093AE7"/>
    <w:rsid w:val="00094505"/>
    <w:rsid w:val="00094772"/>
    <w:rsid w:val="0009568E"/>
    <w:rsid w:val="00095CAD"/>
    <w:rsid w:val="00096030"/>
    <w:rsid w:val="00096EF8"/>
    <w:rsid w:val="00096F31"/>
    <w:rsid w:val="0009735F"/>
    <w:rsid w:val="000978DD"/>
    <w:rsid w:val="000A029A"/>
    <w:rsid w:val="000A03DD"/>
    <w:rsid w:val="000A04FF"/>
    <w:rsid w:val="000A0716"/>
    <w:rsid w:val="000A1210"/>
    <w:rsid w:val="000A1388"/>
    <w:rsid w:val="000A19E2"/>
    <w:rsid w:val="000A2C81"/>
    <w:rsid w:val="000A3586"/>
    <w:rsid w:val="000A3A0B"/>
    <w:rsid w:val="000A4081"/>
    <w:rsid w:val="000A53CB"/>
    <w:rsid w:val="000A5E49"/>
    <w:rsid w:val="000A6163"/>
    <w:rsid w:val="000A62B8"/>
    <w:rsid w:val="000A6C8D"/>
    <w:rsid w:val="000A702A"/>
    <w:rsid w:val="000A7593"/>
    <w:rsid w:val="000A7A01"/>
    <w:rsid w:val="000A7A9A"/>
    <w:rsid w:val="000B0484"/>
    <w:rsid w:val="000B04E7"/>
    <w:rsid w:val="000B16D8"/>
    <w:rsid w:val="000B38C0"/>
    <w:rsid w:val="000B3A14"/>
    <w:rsid w:val="000B3AA4"/>
    <w:rsid w:val="000B41CA"/>
    <w:rsid w:val="000B5480"/>
    <w:rsid w:val="000B57B0"/>
    <w:rsid w:val="000B5848"/>
    <w:rsid w:val="000B5CA4"/>
    <w:rsid w:val="000B6259"/>
    <w:rsid w:val="000C0AFA"/>
    <w:rsid w:val="000C0E6C"/>
    <w:rsid w:val="000C2215"/>
    <w:rsid w:val="000C2A2E"/>
    <w:rsid w:val="000C2B42"/>
    <w:rsid w:val="000C30A8"/>
    <w:rsid w:val="000C3F55"/>
    <w:rsid w:val="000C4B7C"/>
    <w:rsid w:val="000C5021"/>
    <w:rsid w:val="000C55FE"/>
    <w:rsid w:val="000C5AB5"/>
    <w:rsid w:val="000C60F1"/>
    <w:rsid w:val="000C65FB"/>
    <w:rsid w:val="000C670B"/>
    <w:rsid w:val="000C7268"/>
    <w:rsid w:val="000D01EB"/>
    <w:rsid w:val="000D07F7"/>
    <w:rsid w:val="000D1021"/>
    <w:rsid w:val="000D1397"/>
    <w:rsid w:val="000D29D9"/>
    <w:rsid w:val="000D358A"/>
    <w:rsid w:val="000D4349"/>
    <w:rsid w:val="000D464B"/>
    <w:rsid w:val="000D4DC8"/>
    <w:rsid w:val="000D4F34"/>
    <w:rsid w:val="000D5815"/>
    <w:rsid w:val="000D5ED5"/>
    <w:rsid w:val="000D6344"/>
    <w:rsid w:val="000D734F"/>
    <w:rsid w:val="000D742D"/>
    <w:rsid w:val="000E027D"/>
    <w:rsid w:val="000E058F"/>
    <w:rsid w:val="000E0CCB"/>
    <w:rsid w:val="000E140F"/>
    <w:rsid w:val="000E14AB"/>
    <w:rsid w:val="000E1D44"/>
    <w:rsid w:val="000E20EF"/>
    <w:rsid w:val="000E2277"/>
    <w:rsid w:val="000E2858"/>
    <w:rsid w:val="000E33A5"/>
    <w:rsid w:val="000E3510"/>
    <w:rsid w:val="000E398C"/>
    <w:rsid w:val="000E39A7"/>
    <w:rsid w:val="000E4B46"/>
    <w:rsid w:val="000E4CD3"/>
    <w:rsid w:val="000E50E9"/>
    <w:rsid w:val="000E50F2"/>
    <w:rsid w:val="000E574E"/>
    <w:rsid w:val="000E63D3"/>
    <w:rsid w:val="000E663C"/>
    <w:rsid w:val="000E6DD8"/>
    <w:rsid w:val="000E7A6F"/>
    <w:rsid w:val="000E7DCA"/>
    <w:rsid w:val="000E7E9E"/>
    <w:rsid w:val="000F1F09"/>
    <w:rsid w:val="000F2234"/>
    <w:rsid w:val="000F2923"/>
    <w:rsid w:val="000F33C4"/>
    <w:rsid w:val="000F3501"/>
    <w:rsid w:val="000F3BA5"/>
    <w:rsid w:val="000F3FCF"/>
    <w:rsid w:val="000F41FB"/>
    <w:rsid w:val="000F46F9"/>
    <w:rsid w:val="000F4CBB"/>
    <w:rsid w:val="000F4E0F"/>
    <w:rsid w:val="000F4F2D"/>
    <w:rsid w:val="000F55EE"/>
    <w:rsid w:val="000F5E39"/>
    <w:rsid w:val="000F62FD"/>
    <w:rsid w:val="000F6F83"/>
    <w:rsid w:val="000F7797"/>
    <w:rsid w:val="0010089F"/>
    <w:rsid w:val="00100A11"/>
    <w:rsid w:val="00100A4E"/>
    <w:rsid w:val="001018E2"/>
    <w:rsid w:val="00101A9B"/>
    <w:rsid w:val="00101EEC"/>
    <w:rsid w:val="00101F0A"/>
    <w:rsid w:val="00101FDC"/>
    <w:rsid w:val="001039CC"/>
    <w:rsid w:val="00103E3D"/>
    <w:rsid w:val="00104982"/>
    <w:rsid w:val="00104D50"/>
    <w:rsid w:val="00105ED9"/>
    <w:rsid w:val="00106155"/>
    <w:rsid w:val="0010681C"/>
    <w:rsid w:val="00106857"/>
    <w:rsid w:val="00106F4C"/>
    <w:rsid w:val="001073EA"/>
    <w:rsid w:val="00110ABF"/>
    <w:rsid w:val="00110BE0"/>
    <w:rsid w:val="00111225"/>
    <w:rsid w:val="00111BD1"/>
    <w:rsid w:val="0011218D"/>
    <w:rsid w:val="001121E0"/>
    <w:rsid w:val="00113961"/>
    <w:rsid w:val="00113E25"/>
    <w:rsid w:val="00114064"/>
    <w:rsid w:val="00114369"/>
    <w:rsid w:val="00114B3D"/>
    <w:rsid w:val="00114E3D"/>
    <w:rsid w:val="00115A80"/>
    <w:rsid w:val="00116503"/>
    <w:rsid w:val="0011726A"/>
    <w:rsid w:val="001174A6"/>
    <w:rsid w:val="00117F1B"/>
    <w:rsid w:val="00120459"/>
    <w:rsid w:val="001204A4"/>
    <w:rsid w:val="001213E1"/>
    <w:rsid w:val="001215C4"/>
    <w:rsid w:val="001216E3"/>
    <w:rsid w:val="00121E0C"/>
    <w:rsid w:val="00121FED"/>
    <w:rsid w:val="00122832"/>
    <w:rsid w:val="00122BB2"/>
    <w:rsid w:val="001231C7"/>
    <w:rsid w:val="00124B70"/>
    <w:rsid w:val="00125370"/>
    <w:rsid w:val="001253A6"/>
    <w:rsid w:val="00125F46"/>
    <w:rsid w:val="001263B1"/>
    <w:rsid w:val="00127362"/>
    <w:rsid w:val="0012770B"/>
    <w:rsid w:val="001316A9"/>
    <w:rsid w:val="00131798"/>
    <w:rsid w:val="001318AD"/>
    <w:rsid w:val="00131FD2"/>
    <w:rsid w:val="00132255"/>
    <w:rsid w:val="001329ED"/>
    <w:rsid w:val="00132BAB"/>
    <w:rsid w:val="00133630"/>
    <w:rsid w:val="0013438D"/>
    <w:rsid w:val="00134848"/>
    <w:rsid w:val="00134B79"/>
    <w:rsid w:val="001357ED"/>
    <w:rsid w:val="00135AF0"/>
    <w:rsid w:val="00135FFC"/>
    <w:rsid w:val="00136249"/>
    <w:rsid w:val="00137EA6"/>
    <w:rsid w:val="00140DD2"/>
    <w:rsid w:val="00140F1C"/>
    <w:rsid w:val="00140FD6"/>
    <w:rsid w:val="00141198"/>
    <w:rsid w:val="001417E6"/>
    <w:rsid w:val="00141AA8"/>
    <w:rsid w:val="00141AF6"/>
    <w:rsid w:val="001424CB"/>
    <w:rsid w:val="00144816"/>
    <w:rsid w:val="00144CD3"/>
    <w:rsid w:val="00144E5C"/>
    <w:rsid w:val="00145457"/>
    <w:rsid w:val="001455A4"/>
    <w:rsid w:val="0015011E"/>
    <w:rsid w:val="00150552"/>
    <w:rsid w:val="00150FF8"/>
    <w:rsid w:val="001515F6"/>
    <w:rsid w:val="00152397"/>
    <w:rsid w:val="0015369B"/>
    <w:rsid w:val="00153A4E"/>
    <w:rsid w:val="00153C72"/>
    <w:rsid w:val="00153D16"/>
    <w:rsid w:val="00154300"/>
    <w:rsid w:val="0015438E"/>
    <w:rsid w:val="00154802"/>
    <w:rsid w:val="00154F99"/>
    <w:rsid w:val="0015530A"/>
    <w:rsid w:val="0015567E"/>
    <w:rsid w:val="00155F8D"/>
    <w:rsid w:val="001566D2"/>
    <w:rsid w:val="00157359"/>
    <w:rsid w:val="00157856"/>
    <w:rsid w:val="00160213"/>
    <w:rsid w:val="0016036E"/>
    <w:rsid w:val="001609EC"/>
    <w:rsid w:val="001616BA"/>
    <w:rsid w:val="00162194"/>
    <w:rsid w:val="0016224D"/>
    <w:rsid w:val="00162980"/>
    <w:rsid w:val="0016303F"/>
    <w:rsid w:val="00163854"/>
    <w:rsid w:val="00163E6A"/>
    <w:rsid w:val="00164115"/>
    <w:rsid w:val="0016525E"/>
    <w:rsid w:val="001652F3"/>
    <w:rsid w:val="00165A13"/>
    <w:rsid w:val="00165C8F"/>
    <w:rsid w:val="001660E3"/>
    <w:rsid w:val="00167763"/>
    <w:rsid w:val="00167899"/>
    <w:rsid w:val="001707D1"/>
    <w:rsid w:val="001709BD"/>
    <w:rsid w:val="00171B9B"/>
    <w:rsid w:val="001725CB"/>
    <w:rsid w:val="0017265A"/>
    <w:rsid w:val="00172B8E"/>
    <w:rsid w:val="00173694"/>
    <w:rsid w:val="00173851"/>
    <w:rsid w:val="00174963"/>
    <w:rsid w:val="00174AB0"/>
    <w:rsid w:val="00175550"/>
    <w:rsid w:val="00175C09"/>
    <w:rsid w:val="001760F7"/>
    <w:rsid w:val="00176264"/>
    <w:rsid w:val="00176307"/>
    <w:rsid w:val="0017696D"/>
    <w:rsid w:val="0017703B"/>
    <w:rsid w:val="00177869"/>
    <w:rsid w:val="001779BF"/>
    <w:rsid w:val="0017DB12"/>
    <w:rsid w:val="00182A93"/>
    <w:rsid w:val="00182EA2"/>
    <w:rsid w:val="001836B6"/>
    <w:rsid w:val="00183F09"/>
    <w:rsid w:val="0018440A"/>
    <w:rsid w:val="00184560"/>
    <w:rsid w:val="00186F00"/>
    <w:rsid w:val="00187D86"/>
    <w:rsid w:val="00190341"/>
    <w:rsid w:val="00190353"/>
    <w:rsid w:val="001915E6"/>
    <w:rsid w:val="00192C6D"/>
    <w:rsid w:val="001934E1"/>
    <w:rsid w:val="00193558"/>
    <w:rsid w:val="00193AC1"/>
    <w:rsid w:val="00194442"/>
    <w:rsid w:val="001949EE"/>
    <w:rsid w:val="00194D6F"/>
    <w:rsid w:val="00194F38"/>
    <w:rsid w:val="00195464"/>
    <w:rsid w:val="00196474"/>
    <w:rsid w:val="0019663C"/>
    <w:rsid w:val="00196ACD"/>
    <w:rsid w:val="00196F4F"/>
    <w:rsid w:val="001971CD"/>
    <w:rsid w:val="0019742E"/>
    <w:rsid w:val="001A102A"/>
    <w:rsid w:val="001A1725"/>
    <w:rsid w:val="001A2319"/>
    <w:rsid w:val="001A322B"/>
    <w:rsid w:val="001A3FB3"/>
    <w:rsid w:val="001A41C9"/>
    <w:rsid w:val="001A4B3C"/>
    <w:rsid w:val="001A52C3"/>
    <w:rsid w:val="001A57B4"/>
    <w:rsid w:val="001A6B4E"/>
    <w:rsid w:val="001A7280"/>
    <w:rsid w:val="001A7AB1"/>
    <w:rsid w:val="001A7CA0"/>
    <w:rsid w:val="001A7DF4"/>
    <w:rsid w:val="001B25CD"/>
    <w:rsid w:val="001B2AC5"/>
    <w:rsid w:val="001B2C0E"/>
    <w:rsid w:val="001B3FFC"/>
    <w:rsid w:val="001B4118"/>
    <w:rsid w:val="001B477E"/>
    <w:rsid w:val="001B586B"/>
    <w:rsid w:val="001B5FA0"/>
    <w:rsid w:val="001B6181"/>
    <w:rsid w:val="001B65F0"/>
    <w:rsid w:val="001B66A7"/>
    <w:rsid w:val="001C0A46"/>
    <w:rsid w:val="001C0BF1"/>
    <w:rsid w:val="001C0CEB"/>
    <w:rsid w:val="001C3548"/>
    <w:rsid w:val="001C374F"/>
    <w:rsid w:val="001C4169"/>
    <w:rsid w:val="001C469C"/>
    <w:rsid w:val="001C543E"/>
    <w:rsid w:val="001C56F4"/>
    <w:rsid w:val="001C58C8"/>
    <w:rsid w:val="001C5BD1"/>
    <w:rsid w:val="001C5CE2"/>
    <w:rsid w:val="001C62F8"/>
    <w:rsid w:val="001C6386"/>
    <w:rsid w:val="001C6487"/>
    <w:rsid w:val="001C6518"/>
    <w:rsid w:val="001C72D6"/>
    <w:rsid w:val="001C7DB3"/>
    <w:rsid w:val="001C7FF6"/>
    <w:rsid w:val="001D0A1A"/>
    <w:rsid w:val="001D10C5"/>
    <w:rsid w:val="001D229D"/>
    <w:rsid w:val="001D2398"/>
    <w:rsid w:val="001D2DEA"/>
    <w:rsid w:val="001D33CD"/>
    <w:rsid w:val="001D4402"/>
    <w:rsid w:val="001D5B45"/>
    <w:rsid w:val="001D5D09"/>
    <w:rsid w:val="001D685C"/>
    <w:rsid w:val="001D709C"/>
    <w:rsid w:val="001E02F1"/>
    <w:rsid w:val="001E03E6"/>
    <w:rsid w:val="001E194F"/>
    <w:rsid w:val="001E1C8A"/>
    <w:rsid w:val="001E2081"/>
    <w:rsid w:val="001E20F6"/>
    <w:rsid w:val="001E2646"/>
    <w:rsid w:val="001E29A2"/>
    <w:rsid w:val="001E29FD"/>
    <w:rsid w:val="001E3949"/>
    <w:rsid w:val="001E3ED8"/>
    <w:rsid w:val="001E45BA"/>
    <w:rsid w:val="001E54CE"/>
    <w:rsid w:val="001E6909"/>
    <w:rsid w:val="001E7310"/>
    <w:rsid w:val="001E746F"/>
    <w:rsid w:val="001E77B0"/>
    <w:rsid w:val="001E79A1"/>
    <w:rsid w:val="001E7B6C"/>
    <w:rsid w:val="001E7B9A"/>
    <w:rsid w:val="001F1316"/>
    <w:rsid w:val="001F314E"/>
    <w:rsid w:val="001F34C8"/>
    <w:rsid w:val="001F3B8F"/>
    <w:rsid w:val="001F3F35"/>
    <w:rsid w:val="001F47A2"/>
    <w:rsid w:val="001F4AF9"/>
    <w:rsid w:val="001F4E43"/>
    <w:rsid w:val="001F4EC2"/>
    <w:rsid w:val="001F59BC"/>
    <w:rsid w:val="001F66F6"/>
    <w:rsid w:val="001F6788"/>
    <w:rsid w:val="001F684A"/>
    <w:rsid w:val="001F6EB5"/>
    <w:rsid w:val="001F7D36"/>
    <w:rsid w:val="002006DA"/>
    <w:rsid w:val="00200A80"/>
    <w:rsid w:val="002012B2"/>
    <w:rsid w:val="00201F9E"/>
    <w:rsid w:val="002022A1"/>
    <w:rsid w:val="002027FF"/>
    <w:rsid w:val="002033D1"/>
    <w:rsid w:val="00205279"/>
    <w:rsid w:val="00207715"/>
    <w:rsid w:val="0021050E"/>
    <w:rsid w:val="0021098F"/>
    <w:rsid w:val="00211232"/>
    <w:rsid w:val="00211874"/>
    <w:rsid w:val="00211FE1"/>
    <w:rsid w:val="0021237B"/>
    <w:rsid w:val="0021237C"/>
    <w:rsid w:val="00212676"/>
    <w:rsid w:val="0021376B"/>
    <w:rsid w:val="00213A26"/>
    <w:rsid w:val="00213E50"/>
    <w:rsid w:val="00215007"/>
    <w:rsid w:val="00215357"/>
    <w:rsid w:val="002162D3"/>
    <w:rsid w:val="0021691C"/>
    <w:rsid w:val="002171CB"/>
    <w:rsid w:val="002176E0"/>
    <w:rsid w:val="00217848"/>
    <w:rsid w:val="00217C01"/>
    <w:rsid w:val="002211B1"/>
    <w:rsid w:val="00221C35"/>
    <w:rsid w:val="0022275F"/>
    <w:rsid w:val="00222B73"/>
    <w:rsid w:val="00222B99"/>
    <w:rsid w:val="00222D6D"/>
    <w:rsid w:val="00223056"/>
    <w:rsid w:val="0022309C"/>
    <w:rsid w:val="002232CE"/>
    <w:rsid w:val="002233A2"/>
    <w:rsid w:val="0022445A"/>
    <w:rsid w:val="0022528B"/>
    <w:rsid w:val="00225DD4"/>
    <w:rsid w:val="00225E9C"/>
    <w:rsid w:val="00225F05"/>
    <w:rsid w:val="002262B5"/>
    <w:rsid w:val="0022709E"/>
    <w:rsid w:val="00227C6F"/>
    <w:rsid w:val="00227FD5"/>
    <w:rsid w:val="002302C2"/>
    <w:rsid w:val="002302E7"/>
    <w:rsid w:val="0023033C"/>
    <w:rsid w:val="0023108B"/>
    <w:rsid w:val="002325CF"/>
    <w:rsid w:val="0023405A"/>
    <w:rsid w:val="002341C2"/>
    <w:rsid w:val="00234A2E"/>
    <w:rsid w:val="002371A6"/>
    <w:rsid w:val="0023742C"/>
    <w:rsid w:val="00237F47"/>
    <w:rsid w:val="0024171C"/>
    <w:rsid w:val="00241950"/>
    <w:rsid w:val="0024197A"/>
    <w:rsid w:val="00241DD2"/>
    <w:rsid w:val="002422D7"/>
    <w:rsid w:val="0024333D"/>
    <w:rsid w:val="002436B6"/>
    <w:rsid w:val="0024391A"/>
    <w:rsid w:val="00243D46"/>
    <w:rsid w:val="00244949"/>
    <w:rsid w:val="00244F4D"/>
    <w:rsid w:val="0024510C"/>
    <w:rsid w:val="00247003"/>
    <w:rsid w:val="00247DF2"/>
    <w:rsid w:val="00251396"/>
    <w:rsid w:val="0025179D"/>
    <w:rsid w:val="00251AEA"/>
    <w:rsid w:val="00251B19"/>
    <w:rsid w:val="00252850"/>
    <w:rsid w:val="00252FA8"/>
    <w:rsid w:val="00253AE8"/>
    <w:rsid w:val="002543BB"/>
    <w:rsid w:val="00254ACC"/>
    <w:rsid w:val="00255109"/>
    <w:rsid w:val="00255903"/>
    <w:rsid w:val="00256422"/>
    <w:rsid w:val="00256776"/>
    <w:rsid w:val="00256F1E"/>
    <w:rsid w:val="00257AAB"/>
    <w:rsid w:val="00257CEF"/>
    <w:rsid w:val="002606F5"/>
    <w:rsid w:val="00260C75"/>
    <w:rsid w:val="00261AD5"/>
    <w:rsid w:val="00262C0D"/>
    <w:rsid w:val="002632D1"/>
    <w:rsid w:val="002633D0"/>
    <w:rsid w:val="00263FFC"/>
    <w:rsid w:val="002640C3"/>
    <w:rsid w:val="002641B8"/>
    <w:rsid w:val="002642CB"/>
    <w:rsid w:val="002645CE"/>
    <w:rsid w:val="00264D04"/>
    <w:rsid w:val="002659E1"/>
    <w:rsid w:val="00265D71"/>
    <w:rsid w:val="00266C1C"/>
    <w:rsid w:val="002711CD"/>
    <w:rsid w:val="00272011"/>
    <w:rsid w:val="00272A84"/>
    <w:rsid w:val="00273B27"/>
    <w:rsid w:val="0027553A"/>
    <w:rsid w:val="00276DE2"/>
    <w:rsid w:val="0027705D"/>
    <w:rsid w:val="00277B3C"/>
    <w:rsid w:val="0028320B"/>
    <w:rsid w:val="002835B2"/>
    <w:rsid w:val="0028422F"/>
    <w:rsid w:val="002845CB"/>
    <w:rsid w:val="002852FC"/>
    <w:rsid w:val="00285470"/>
    <w:rsid w:val="00286ECB"/>
    <w:rsid w:val="00287C3F"/>
    <w:rsid w:val="002906C7"/>
    <w:rsid w:val="00291DBD"/>
    <w:rsid w:val="002945B0"/>
    <w:rsid w:val="00295995"/>
    <w:rsid w:val="0029639B"/>
    <w:rsid w:val="00296979"/>
    <w:rsid w:val="0029751F"/>
    <w:rsid w:val="002A0639"/>
    <w:rsid w:val="002A0A50"/>
    <w:rsid w:val="002A0BA8"/>
    <w:rsid w:val="002A10AD"/>
    <w:rsid w:val="002A19D9"/>
    <w:rsid w:val="002A1D81"/>
    <w:rsid w:val="002A1FBD"/>
    <w:rsid w:val="002A2611"/>
    <w:rsid w:val="002A3AA3"/>
    <w:rsid w:val="002A3ACD"/>
    <w:rsid w:val="002A401B"/>
    <w:rsid w:val="002A44C8"/>
    <w:rsid w:val="002A4E83"/>
    <w:rsid w:val="002A5480"/>
    <w:rsid w:val="002A5CE1"/>
    <w:rsid w:val="002A6A61"/>
    <w:rsid w:val="002A6F02"/>
    <w:rsid w:val="002A79A0"/>
    <w:rsid w:val="002B0551"/>
    <w:rsid w:val="002B06CC"/>
    <w:rsid w:val="002B095C"/>
    <w:rsid w:val="002B0BDF"/>
    <w:rsid w:val="002B0D6E"/>
    <w:rsid w:val="002B23EF"/>
    <w:rsid w:val="002B2A15"/>
    <w:rsid w:val="002B2F10"/>
    <w:rsid w:val="002B308B"/>
    <w:rsid w:val="002B370C"/>
    <w:rsid w:val="002B3802"/>
    <w:rsid w:val="002B55B1"/>
    <w:rsid w:val="002B5693"/>
    <w:rsid w:val="002B5CB2"/>
    <w:rsid w:val="002B5F35"/>
    <w:rsid w:val="002B7398"/>
    <w:rsid w:val="002B788B"/>
    <w:rsid w:val="002B7B62"/>
    <w:rsid w:val="002C00E0"/>
    <w:rsid w:val="002C03B5"/>
    <w:rsid w:val="002C0498"/>
    <w:rsid w:val="002C124E"/>
    <w:rsid w:val="002C14CA"/>
    <w:rsid w:val="002C1AF6"/>
    <w:rsid w:val="002C36E4"/>
    <w:rsid w:val="002C36EA"/>
    <w:rsid w:val="002C431E"/>
    <w:rsid w:val="002C5BF9"/>
    <w:rsid w:val="002C625A"/>
    <w:rsid w:val="002C639C"/>
    <w:rsid w:val="002C7A10"/>
    <w:rsid w:val="002C7B8E"/>
    <w:rsid w:val="002C7C2A"/>
    <w:rsid w:val="002D0215"/>
    <w:rsid w:val="002D0E7E"/>
    <w:rsid w:val="002D1A39"/>
    <w:rsid w:val="002D27B1"/>
    <w:rsid w:val="002D2EF5"/>
    <w:rsid w:val="002D33D2"/>
    <w:rsid w:val="002D3F15"/>
    <w:rsid w:val="002D47D6"/>
    <w:rsid w:val="002D4D9C"/>
    <w:rsid w:val="002D4EA4"/>
    <w:rsid w:val="002D59DB"/>
    <w:rsid w:val="002D5F37"/>
    <w:rsid w:val="002D6CAE"/>
    <w:rsid w:val="002D7353"/>
    <w:rsid w:val="002D73DC"/>
    <w:rsid w:val="002D7559"/>
    <w:rsid w:val="002D75C8"/>
    <w:rsid w:val="002D7AC1"/>
    <w:rsid w:val="002E0223"/>
    <w:rsid w:val="002E0380"/>
    <w:rsid w:val="002E1CE1"/>
    <w:rsid w:val="002E246C"/>
    <w:rsid w:val="002E35B1"/>
    <w:rsid w:val="002E3712"/>
    <w:rsid w:val="002E424F"/>
    <w:rsid w:val="002E4FA8"/>
    <w:rsid w:val="002E5356"/>
    <w:rsid w:val="002E5838"/>
    <w:rsid w:val="002E69D7"/>
    <w:rsid w:val="002E744F"/>
    <w:rsid w:val="002E763C"/>
    <w:rsid w:val="002E7A09"/>
    <w:rsid w:val="002E7F83"/>
    <w:rsid w:val="002F0580"/>
    <w:rsid w:val="002F106A"/>
    <w:rsid w:val="002F19F0"/>
    <w:rsid w:val="002F1E5D"/>
    <w:rsid w:val="002F331B"/>
    <w:rsid w:val="002F33AF"/>
    <w:rsid w:val="002F34CA"/>
    <w:rsid w:val="002F3B91"/>
    <w:rsid w:val="002F3FBB"/>
    <w:rsid w:val="002F4232"/>
    <w:rsid w:val="002F42ED"/>
    <w:rsid w:val="002F45A3"/>
    <w:rsid w:val="002F4C06"/>
    <w:rsid w:val="002F4FD9"/>
    <w:rsid w:val="002F5D67"/>
    <w:rsid w:val="002F5DA7"/>
    <w:rsid w:val="002F718D"/>
    <w:rsid w:val="002F7510"/>
    <w:rsid w:val="002F7F8F"/>
    <w:rsid w:val="0030020C"/>
    <w:rsid w:val="00300725"/>
    <w:rsid w:val="0030174A"/>
    <w:rsid w:val="00301994"/>
    <w:rsid w:val="00301BE1"/>
    <w:rsid w:val="00302C82"/>
    <w:rsid w:val="003051E9"/>
    <w:rsid w:val="00305546"/>
    <w:rsid w:val="00305864"/>
    <w:rsid w:val="00306A86"/>
    <w:rsid w:val="00306DB6"/>
    <w:rsid w:val="00307204"/>
    <w:rsid w:val="003079D8"/>
    <w:rsid w:val="00307E0E"/>
    <w:rsid w:val="003100BC"/>
    <w:rsid w:val="003100DF"/>
    <w:rsid w:val="00310336"/>
    <w:rsid w:val="0031144D"/>
    <w:rsid w:val="003117B3"/>
    <w:rsid w:val="003117BA"/>
    <w:rsid w:val="003117ED"/>
    <w:rsid w:val="0031215D"/>
    <w:rsid w:val="003123D3"/>
    <w:rsid w:val="00312B45"/>
    <w:rsid w:val="0031305F"/>
    <w:rsid w:val="00313092"/>
    <w:rsid w:val="003138D2"/>
    <w:rsid w:val="00313906"/>
    <w:rsid w:val="00314005"/>
    <w:rsid w:val="0031448B"/>
    <w:rsid w:val="00314596"/>
    <w:rsid w:val="00314D12"/>
    <w:rsid w:val="00315F6E"/>
    <w:rsid w:val="00315FFB"/>
    <w:rsid w:val="00317587"/>
    <w:rsid w:val="00317718"/>
    <w:rsid w:val="00317C2A"/>
    <w:rsid w:val="00320910"/>
    <w:rsid w:val="00321553"/>
    <w:rsid w:val="00322EB0"/>
    <w:rsid w:val="00323440"/>
    <w:rsid w:val="00323F75"/>
    <w:rsid w:val="003244AA"/>
    <w:rsid w:val="00326895"/>
    <w:rsid w:val="00326C88"/>
    <w:rsid w:val="0032758C"/>
    <w:rsid w:val="003275C9"/>
    <w:rsid w:val="003276BF"/>
    <w:rsid w:val="003309CB"/>
    <w:rsid w:val="0033152A"/>
    <w:rsid w:val="0033279E"/>
    <w:rsid w:val="003329E1"/>
    <w:rsid w:val="00332A81"/>
    <w:rsid w:val="00332B57"/>
    <w:rsid w:val="00332B8C"/>
    <w:rsid w:val="00333461"/>
    <w:rsid w:val="00333737"/>
    <w:rsid w:val="003339FF"/>
    <w:rsid w:val="00333D4D"/>
    <w:rsid w:val="00333D9B"/>
    <w:rsid w:val="0033415A"/>
    <w:rsid w:val="003345DF"/>
    <w:rsid w:val="003365B7"/>
    <w:rsid w:val="003365CA"/>
    <w:rsid w:val="0033719E"/>
    <w:rsid w:val="00337649"/>
    <w:rsid w:val="003377BD"/>
    <w:rsid w:val="0034075C"/>
    <w:rsid w:val="0034159F"/>
    <w:rsid w:val="003419FC"/>
    <w:rsid w:val="003424AC"/>
    <w:rsid w:val="00342577"/>
    <w:rsid w:val="00344205"/>
    <w:rsid w:val="00344526"/>
    <w:rsid w:val="003446C4"/>
    <w:rsid w:val="00344BFC"/>
    <w:rsid w:val="003451B2"/>
    <w:rsid w:val="0034527B"/>
    <w:rsid w:val="003454F2"/>
    <w:rsid w:val="003459DC"/>
    <w:rsid w:val="0034644E"/>
    <w:rsid w:val="00347396"/>
    <w:rsid w:val="0034759A"/>
    <w:rsid w:val="00347A65"/>
    <w:rsid w:val="00350C89"/>
    <w:rsid w:val="00351899"/>
    <w:rsid w:val="003519EA"/>
    <w:rsid w:val="00352196"/>
    <w:rsid w:val="003524FA"/>
    <w:rsid w:val="0035256F"/>
    <w:rsid w:val="0035268F"/>
    <w:rsid w:val="00352803"/>
    <w:rsid w:val="003541C9"/>
    <w:rsid w:val="00354564"/>
    <w:rsid w:val="003551EA"/>
    <w:rsid w:val="00355522"/>
    <w:rsid w:val="0035623D"/>
    <w:rsid w:val="00356AAD"/>
    <w:rsid w:val="00357554"/>
    <w:rsid w:val="0035778B"/>
    <w:rsid w:val="00357B97"/>
    <w:rsid w:val="00360143"/>
    <w:rsid w:val="00360572"/>
    <w:rsid w:val="00360EED"/>
    <w:rsid w:val="003613B1"/>
    <w:rsid w:val="003613B8"/>
    <w:rsid w:val="003615A1"/>
    <w:rsid w:val="0036167E"/>
    <w:rsid w:val="00362068"/>
    <w:rsid w:val="003628F7"/>
    <w:rsid w:val="00362B4E"/>
    <w:rsid w:val="00363BF2"/>
    <w:rsid w:val="00364272"/>
    <w:rsid w:val="0036464E"/>
    <w:rsid w:val="00364816"/>
    <w:rsid w:val="003656B5"/>
    <w:rsid w:val="00366642"/>
    <w:rsid w:val="00366782"/>
    <w:rsid w:val="00367172"/>
    <w:rsid w:val="00367BCC"/>
    <w:rsid w:val="003700D4"/>
    <w:rsid w:val="0037090A"/>
    <w:rsid w:val="00370A2A"/>
    <w:rsid w:val="0037104A"/>
    <w:rsid w:val="00372569"/>
    <w:rsid w:val="0037273B"/>
    <w:rsid w:val="0037288D"/>
    <w:rsid w:val="003728E3"/>
    <w:rsid w:val="00374238"/>
    <w:rsid w:val="00374A8C"/>
    <w:rsid w:val="00375E40"/>
    <w:rsid w:val="0037623F"/>
    <w:rsid w:val="00376BE8"/>
    <w:rsid w:val="00377263"/>
    <w:rsid w:val="00377570"/>
    <w:rsid w:val="00380C0C"/>
    <w:rsid w:val="00380F2E"/>
    <w:rsid w:val="00381289"/>
    <w:rsid w:val="0038156A"/>
    <w:rsid w:val="003824CC"/>
    <w:rsid w:val="00382A9A"/>
    <w:rsid w:val="00382B4D"/>
    <w:rsid w:val="00383243"/>
    <w:rsid w:val="0038454D"/>
    <w:rsid w:val="003853CA"/>
    <w:rsid w:val="00385FA9"/>
    <w:rsid w:val="00386E3C"/>
    <w:rsid w:val="00386FA6"/>
    <w:rsid w:val="0038755C"/>
    <w:rsid w:val="00387A5A"/>
    <w:rsid w:val="00387C0C"/>
    <w:rsid w:val="00390709"/>
    <w:rsid w:val="00390798"/>
    <w:rsid w:val="003907A6"/>
    <w:rsid w:val="00391097"/>
    <w:rsid w:val="00392077"/>
    <w:rsid w:val="00392C0D"/>
    <w:rsid w:val="00392CEA"/>
    <w:rsid w:val="00392D4F"/>
    <w:rsid w:val="00392E23"/>
    <w:rsid w:val="0039319E"/>
    <w:rsid w:val="003936CC"/>
    <w:rsid w:val="00393701"/>
    <w:rsid w:val="00393A39"/>
    <w:rsid w:val="00393C18"/>
    <w:rsid w:val="00394211"/>
    <w:rsid w:val="003955E8"/>
    <w:rsid w:val="0039601E"/>
    <w:rsid w:val="0039788A"/>
    <w:rsid w:val="00397ED8"/>
    <w:rsid w:val="003A0D4A"/>
    <w:rsid w:val="003A17F7"/>
    <w:rsid w:val="003A20D9"/>
    <w:rsid w:val="003A21C4"/>
    <w:rsid w:val="003A225D"/>
    <w:rsid w:val="003A2EFA"/>
    <w:rsid w:val="003A4156"/>
    <w:rsid w:val="003A43F9"/>
    <w:rsid w:val="003A6A29"/>
    <w:rsid w:val="003A6B58"/>
    <w:rsid w:val="003B0148"/>
    <w:rsid w:val="003B13A4"/>
    <w:rsid w:val="003B192D"/>
    <w:rsid w:val="003B1FF3"/>
    <w:rsid w:val="003B3587"/>
    <w:rsid w:val="003B35B4"/>
    <w:rsid w:val="003B440C"/>
    <w:rsid w:val="003B47E2"/>
    <w:rsid w:val="003B53DA"/>
    <w:rsid w:val="003B5B54"/>
    <w:rsid w:val="003B5CB1"/>
    <w:rsid w:val="003B69C1"/>
    <w:rsid w:val="003B72CC"/>
    <w:rsid w:val="003B74DC"/>
    <w:rsid w:val="003C0EAE"/>
    <w:rsid w:val="003C1AEF"/>
    <w:rsid w:val="003C1DFA"/>
    <w:rsid w:val="003C2D72"/>
    <w:rsid w:val="003C380F"/>
    <w:rsid w:val="003C5370"/>
    <w:rsid w:val="003C547B"/>
    <w:rsid w:val="003C6111"/>
    <w:rsid w:val="003C698E"/>
    <w:rsid w:val="003C6FA2"/>
    <w:rsid w:val="003C720B"/>
    <w:rsid w:val="003C7263"/>
    <w:rsid w:val="003C760E"/>
    <w:rsid w:val="003D1E3A"/>
    <w:rsid w:val="003D22F5"/>
    <w:rsid w:val="003D3254"/>
    <w:rsid w:val="003D3FAC"/>
    <w:rsid w:val="003D5308"/>
    <w:rsid w:val="003D5820"/>
    <w:rsid w:val="003D59B6"/>
    <w:rsid w:val="003D5D69"/>
    <w:rsid w:val="003D5DA3"/>
    <w:rsid w:val="003D7224"/>
    <w:rsid w:val="003E02CF"/>
    <w:rsid w:val="003E0A2C"/>
    <w:rsid w:val="003E0E2C"/>
    <w:rsid w:val="003E13D0"/>
    <w:rsid w:val="003E2759"/>
    <w:rsid w:val="003E2839"/>
    <w:rsid w:val="003E33C1"/>
    <w:rsid w:val="003E34A2"/>
    <w:rsid w:val="003E5D23"/>
    <w:rsid w:val="003E69AE"/>
    <w:rsid w:val="003E6DBC"/>
    <w:rsid w:val="003E75BA"/>
    <w:rsid w:val="003E7639"/>
    <w:rsid w:val="003F0496"/>
    <w:rsid w:val="003F169A"/>
    <w:rsid w:val="003F19B8"/>
    <w:rsid w:val="003F1C51"/>
    <w:rsid w:val="003F1F8E"/>
    <w:rsid w:val="003F2526"/>
    <w:rsid w:val="003F2D03"/>
    <w:rsid w:val="003F3BA1"/>
    <w:rsid w:val="003F4261"/>
    <w:rsid w:val="003F4C0E"/>
    <w:rsid w:val="003F5D3B"/>
    <w:rsid w:val="003F68F8"/>
    <w:rsid w:val="00401297"/>
    <w:rsid w:val="00401B02"/>
    <w:rsid w:val="00401EC1"/>
    <w:rsid w:val="00403B8E"/>
    <w:rsid w:val="00403F19"/>
    <w:rsid w:val="0040442F"/>
    <w:rsid w:val="004044C3"/>
    <w:rsid w:val="00404A5F"/>
    <w:rsid w:val="00405188"/>
    <w:rsid w:val="0040669D"/>
    <w:rsid w:val="004069FF"/>
    <w:rsid w:val="00406B35"/>
    <w:rsid w:val="00407491"/>
    <w:rsid w:val="00407D28"/>
    <w:rsid w:val="00410049"/>
    <w:rsid w:val="0041032A"/>
    <w:rsid w:val="0041058C"/>
    <w:rsid w:val="0041068C"/>
    <w:rsid w:val="00411AD7"/>
    <w:rsid w:val="00411E23"/>
    <w:rsid w:val="004127E8"/>
    <w:rsid w:val="00412FFE"/>
    <w:rsid w:val="004142A3"/>
    <w:rsid w:val="004148DF"/>
    <w:rsid w:val="004149BF"/>
    <w:rsid w:val="00414C94"/>
    <w:rsid w:val="004152DA"/>
    <w:rsid w:val="00416175"/>
    <w:rsid w:val="00416C97"/>
    <w:rsid w:val="00416D93"/>
    <w:rsid w:val="004173FA"/>
    <w:rsid w:val="00417CAD"/>
    <w:rsid w:val="00417D66"/>
    <w:rsid w:val="00420387"/>
    <w:rsid w:val="004204B6"/>
    <w:rsid w:val="00420919"/>
    <w:rsid w:val="0042132B"/>
    <w:rsid w:val="004218F8"/>
    <w:rsid w:val="0042207B"/>
    <w:rsid w:val="0042267D"/>
    <w:rsid w:val="004226DB"/>
    <w:rsid w:val="00422772"/>
    <w:rsid w:val="00422EED"/>
    <w:rsid w:val="004246AA"/>
    <w:rsid w:val="004249F9"/>
    <w:rsid w:val="00425614"/>
    <w:rsid w:val="00425C11"/>
    <w:rsid w:val="00425C38"/>
    <w:rsid w:val="00425E9C"/>
    <w:rsid w:val="004263F0"/>
    <w:rsid w:val="00426C2F"/>
    <w:rsid w:val="00427349"/>
    <w:rsid w:val="00430154"/>
    <w:rsid w:val="00430196"/>
    <w:rsid w:val="004307A2"/>
    <w:rsid w:val="0043097D"/>
    <w:rsid w:val="00430DCD"/>
    <w:rsid w:val="00431270"/>
    <w:rsid w:val="004312A8"/>
    <w:rsid w:val="00431480"/>
    <w:rsid w:val="0043196A"/>
    <w:rsid w:val="00432DEB"/>
    <w:rsid w:val="0043376F"/>
    <w:rsid w:val="0043386C"/>
    <w:rsid w:val="0043408B"/>
    <w:rsid w:val="0043441A"/>
    <w:rsid w:val="00434D41"/>
    <w:rsid w:val="00435AD3"/>
    <w:rsid w:val="00435D3B"/>
    <w:rsid w:val="004361CB"/>
    <w:rsid w:val="00436FFD"/>
    <w:rsid w:val="00437A90"/>
    <w:rsid w:val="004403E5"/>
    <w:rsid w:val="0044089C"/>
    <w:rsid w:val="00440F8B"/>
    <w:rsid w:val="00441053"/>
    <w:rsid w:val="004415FD"/>
    <w:rsid w:val="0044173F"/>
    <w:rsid w:val="00442165"/>
    <w:rsid w:val="00442332"/>
    <w:rsid w:val="00442F6E"/>
    <w:rsid w:val="004434A5"/>
    <w:rsid w:val="00443EC9"/>
    <w:rsid w:val="004458E6"/>
    <w:rsid w:val="00445C66"/>
    <w:rsid w:val="00446C9C"/>
    <w:rsid w:val="0044AAE0"/>
    <w:rsid w:val="004500C9"/>
    <w:rsid w:val="00450F61"/>
    <w:rsid w:val="0045100C"/>
    <w:rsid w:val="0045178B"/>
    <w:rsid w:val="00451CFC"/>
    <w:rsid w:val="00452A07"/>
    <w:rsid w:val="00452FFC"/>
    <w:rsid w:val="004532B0"/>
    <w:rsid w:val="00453318"/>
    <w:rsid w:val="00453848"/>
    <w:rsid w:val="00453D39"/>
    <w:rsid w:val="00454000"/>
    <w:rsid w:val="00454A32"/>
    <w:rsid w:val="00454DDF"/>
    <w:rsid w:val="00454FA0"/>
    <w:rsid w:val="00455E8B"/>
    <w:rsid w:val="0045677E"/>
    <w:rsid w:val="00456B01"/>
    <w:rsid w:val="0046104F"/>
    <w:rsid w:val="004617DA"/>
    <w:rsid w:val="00461F83"/>
    <w:rsid w:val="0046259E"/>
    <w:rsid w:val="0046276B"/>
    <w:rsid w:val="00462C54"/>
    <w:rsid w:val="00462E82"/>
    <w:rsid w:val="00463305"/>
    <w:rsid w:val="0046413C"/>
    <w:rsid w:val="00464D4A"/>
    <w:rsid w:val="00465048"/>
    <w:rsid w:val="00465FA3"/>
    <w:rsid w:val="00467977"/>
    <w:rsid w:val="004703F2"/>
    <w:rsid w:val="0047139D"/>
    <w:rsid w:val="00471C94"/>
    <w:rsid w:val="00472800"/>
    <w:rsid w:val="0047330D"/>
    <w:rsid w:val="0047331D"/>
    <w:rsid w:val="004737FB"/>
    <w:rsid w:val="00473E38"/>
    <w:rsid w:val="00474211"/>
    <w:rsid w:val="004745BD"/>
    <w:rsid w:val="00475293"/>
    <w:rsid w:val="0047558D"/>
    <w:rsid w:val="0047608A"/>
    <w:rsid w:val="00476746"/>
    <w:rsid w:val="00477BE5"/>
    <w:rsid w:val="004807FB"/>
    <w:rsid w:val="00481AC1"/>
    <w:rsid w:val="00481B6A"/>
    <w:rsid w:val="00482FEE"/>
    <w:rsid w:val="00483036"/>
    <w:rsid w:val="004852E9"/>
    <w:rsid w:val="00485E6B"/>
    <w:rsid w:val="00486387"/>
    <w:rsid w:val="004864F6"/>
    <w:rsid w:val="0048669B"/>
    <w:rsid w:val="00487C8E"/>
    <w:rsid w:val="00490898"/>
    <w:rsid w:val="0049139B"/>
    <w:rsid w:val="0049153F"/>
    <w:rsid w:val="00491C9C"/>
    <w:rsid w:val="0049227F"/>
    <w:rsid w:val="00492305"/>
    <w:rsid w:val="00492ABD"/>
    <w:rsid w:val="00492D8D"/>
    <w:rsid w:val="00494078"/>
    <w:rsid w:val="0049469E"/>
    <w:rsid w:val="00495532"/>
    <w:rsid w:val="0049569F"/>
    <w:rsid w:val="0049674B"/>
    <w:rsid w:val="00496A41"/>
    <w:rsid w:val="00496DB5"/>
    <w:rsid w:val="004972CF"/>
    <w:rsid w:val="004976F7"/>
    <w:rsid w:val="004A1AAF"/>
    <w:rsid w:val="004A1D12"/>
    <w:rsid w:val="004A28CE"/>
    <w:rsid w:val="004A2D46"/>
    <w:rsid w:val="004A307D"/>
    <w:rsid w:val="004A36D9"/>
    <w:rsid w:val="004A3E1F"/>
    <w:rsid w:val="004A41EC"/>
    <w:rsid w:val="004A47A8"/>
    <w:rsid w:val="004A5444"/>
    <w:rsid w:val="004A5C41"/>
    <w:rsid w:val="004A6F25"/>
    <w:rsid w:val="004A7950"/>
    <w:rsid w:val="004A7E1F"/>
    <w:rsid w:val="004B04F4"/>
    <w:rsid w:val="004B0E5B"/>
    <w:rsid w:val="004B0F5C"/>
    <w:rsid w:val="004B1E7B"/>
    <w:rsid w:val="004B2175"/>
    <w:rsid w:val="004B2AE5"/>
    <w:rsid w:val="004B34B2"/>
    <w:rsid w:val="004B3855"/>
    <w:rsid w:val="004B40B6"/>
    <w:rsid w:val="004B42EE"/>
    <w:rsid w:val="004B5C12"/>
    <w:rsid w:val="004B673C"/>
    <w:rsid w:val="004B7313"/>
    <w:rsid w:val="004B7526"/>
    <w:rsid w:val="004C006F"/>
    <w:rsid w:val="004C0661"/>
    <w:rsid w:val="004C0CE2"/>
    <w:rsid w:val="004C0F38"/>
    <w:rsid w:val="004C1030"/>
    <w:rsid w:val="004C1190"/>
    <w:rsid w:val="004C1635"/>
    <w:rsid w:val="004C2238"/>
    <w:rsid w:val="004C24AB"/>
    <w:rsid w:val="004C28CD"/>
    <w:rsid w:val="004C5E7F"/>
    <w:rsid w:val="004D0D04"/>
    <w:rsid w:val="004D0FAA"/>
    <w:rsid w:val="004D1237"/>
    <w:rsid w:val="004D1487"/>
    <w:rsid w:val="004D26D8"/>
    <w:rsid w:val="004D37D6"/>
    <w:rsid w:val="004D42C2"/>
    <w:rsid w:val="004D50A0"/>
    <w:rsid w:val="004D6282"/>
    <w:rsid w:val="004D6371"/>
    <w:rsid w:val="004D6548"/>
    <w:rsid w:val="004D671E"/>
    <w:rsid w:val="004D72FE"/>
    <w:rsid w:val="004D739E"/>
    <w:rsid w:val="004D7607"/>
    <w:rsid w:val="004E022D"/>
    <w:rsid w:val="004E19E9"/>
    <w:rsid w:val="004E1A84"/>
    <w:rsid w:val="004E1DEE"/>
    <w:rsid w:val="004E1F60"/>
    <w:rsid w:val="004E2504"/>
    <w:rsid w:val="004E3235"/>
    <w:rsid w:val="004E36A8"/>
    <w:rsid w:val="004E4585"/>
    <w:rsid w:val="004E4E92"/>
    <w:rsid w:val="004E52F3"/>
    <w:rsid w:val="004E6AC5"/>
    <w:rsid w:val="004F052B"/>
    <w:rsid w:val="004F0E62"/>
    <w:rsid w:val="004F0EBD"/>
    <w:rsid w:val="004F1EB5"/>
    <w:rsid w:val="004F29F8"/>
    <w:rsid w:val="004F3C62"/>
    <w:rsid w:val="004F4047"/>
    <w:rsid w:val="004F49A1"/>
    <w:rsid w:val="004F4F72"/>
    <w:rsid w:val="004F62FB"/>
    <w:rsid w:val="004F660E"/>
    <w:rsid w:val="004F684A"/>
    <w:rsid w:val="004F68B3"/>
    <w:rsid w:val="004F7904"/>
    <w:rsid w:val="004F7B21"/>
    <w:rsid w:val="004F7BD0"/>
    <w:rsid w:val="00501193"/>
    <w:rsid w:val="00501202"/>
    <w:rsid w:val="00501720"/>
    <w:rsid w:val="00502F2E"/>
    <w:rsid w:val="005035BE"/>
    <w:rsid w:val="00503894"/>
    <w:rsid w:val="00504DBE"/>
    <w:rsid w:val="00506960"/>
    <w:rsid w:val="0050762D"/>
    <w:rsid w:val="00507EBC"/>
    <w:rsid w:val="0050FF54"/>
    <w:rsid w:val="0051034D"/>
    <w:rsid w:val="00510919"/>
    <w:rsid w:val="00511F12"/>
    <w:rsid w:val="00512ADE"/>
    <w:rsid w:val="00512AF6"/>
    <w:rsid w:val="00512C80"/>
    <w:rsid w:val="00512E80"/>
    <w:rsid w:val="00513F48"/>
    <w:rsid w:val="00514D58"/>
    <w:rsid w:val="00514F69"/>
    <w:rsid w:val="00515384"/>
    <w:rsid w:val="005153D0"/>
    <w:rsid w:val="005158C8"/>
    <w:rsid w:val="00515946"/>
    <w:rsid w:val="00516818"/>
    <w:rsid w:val="0051749F"/>
    <w:rsid w:val="005177BF"/>
    <w:rsid w:val="005211F7"/>
    <w:rsid w:val="00521214"/>
    <w:rsid w:val="00521AE0"/>
    <w:rsid w:val="00521E0B"/>
    <w:rsid w:val="00522E23"/>
    <w:rsid w:val="0052377B"/>
    <w:rsid w:val="00523E88"/>
    <w:rsid w:val="0052453E"/>
    <w:rsid w:val="00524559"/>
    <w:rsid w:val="00524F51"/>
    <w:rsid w:val="0052578C"/>
    <w:rsid w:val="0052678B"/>
    <w:rsid w:val="005269EB"/>
    <w:rsid w:val="0052704D"/>
    <w:rsid w:val="005271D8"/>
    <w:rsid w:val="005276B8"/>
    <w:rsid w:val="005276F8"/>
    <w:rsid w:val="00530418"/>
    <w:rsid w:val="00531085"/>
    <w:rsid w:val="00531269"/>
    <w:rsid w:val="005315F7"/>
    <w:rsid w:val="00531AAD"/>
    <w:rsid w:val="00531B7D"/>
    <w:rsid w:val="00531F6F"/>
    <w:rsid w:val="00532776"/>
    <w:rsid w:val="00532B30"/>
    <w:rsid w:val="00533B1B"/>
    <w:rsid w:val="0053444F"/>
    <w:rsid w:val="00534F1D"/>
    <w:rsid w:val="00535037"/>
    <w:rsid w:val="00535549"/>
    <w:rsid w:val="00535688"/>
    <w:rsid w:val="00535B26"/>
    <w:rsid w:val="00535BB3"/>
    <w:rsid w:val="00536BCE"/>
    <w:rsid w:val="005373E7"/>
    <w:rsid w:val="0054052F"/>
    <w:rsid w:val="005405A5"/>
    <w:rsid w:val="00540A39"/>
    <w:rsid w:val="00540D49"/>
    <w:rsid w:val="005416C3"/>
    <w:rsid w:val="0054200D"/>
    <w:rsid w:val="00542D53"/>
    <w:rsid w:val="0054339E"/>
    <w:rsid w:val="00543BF0"/>
    <w:rsid w:val="00544684"/>
    <w:rsid w:val="00544D5E"/>
    <w:rsid w:val="005453CB"/>
    <w:rsid w:val="00546CAD"/>
    <w:rsid w:val="00546DA4"/>
    <w:rsid w:val="00547706"/>
    <w:rsid w:val="00547C68"/>
    <w:rsid w:val="00547E4D"/>
    <w:rsid w:val="00550CEC"/>
    <w:rsid w:val="0055137C"/>
    <w:rsid w:val="00551615"/>
    <w:rsid w:val="00551816"/>
    <w:rsid w:val="005529BB"/>
    <w:rsid w:val="005532FA"/>
    <w:rsid w:val="005535F0"/>
    <w:rsid w:val="00554D51"/>
    <w:rsid w:val="00554DD7"/>
    <w:rsid w:val="0055604C"/>
    <w:rsid w:val="00557769"/>
    <w:rsid w:val="00557887"/>
    <w:rsid w:val="00557BC3"/>
    <w:rsid w:val="00557D72"/>
    <w:rsid w:val="00557DBB"/>
    <w:rsid w:val="00560339"/>
    <w:rsid w:val="00560356"/>
    <w:rsid w:val="005607B7"/>
    <w:rsid w:val="00560AFB"/>
    <w:rsid w:val="00562DF4"/>
    <w:rsid w:val="00562E9D"/>
    <w:rsid w:val="00563C1A"/>
    <w:rsid w:val="00563ED6"/>
    <w:rsid w:val="00563F60"/>
    <w:rsid w:val="00564029"/>
    <w:rsid w:val="00564FA9"/>
    <w:rsid w:val="00565371"/>
    <w:rsid w:val="00565A68"/>
    <w:rsid w:val="00565E6D"/>
    <w:rsid w:val="00566696"/>
    <w:rsid w:val="005669B9"/>
    <w:rsid w:val="00567B97"/>
    <w:rsid w:val="00567E17"/>
    <w:rsid w:val="00570296"/>
    <w:rsid w:val="005705D1"/>
    <w:rsid w:val="00570733"/>
    <w:rsid w:val="00570835"/>
    <w:rsid w:val="0057089A"/>
    <w:rsid w:val="00571722"/>
    <w:rsid w:val="00571FBA"/>
    <w:rsid w:val="0057264C"/>
    <w:rsid w:val="005727F7"/>
    <w:rsid w:val="005729FF"/>
    <w:rsid w:val="00572F15"/>
    <w:rsid w:val="0057373E"/>
    <w:rsid w:val="00573D86"/>
    <w:rsid w:val="00574131"/>
    <w:rsid w:val="00575454"/>
    <w:rsid w:val="00575D28"/>
    <w:rsid w:val="005760AF"/>
    <w:rsid w:val="005769D2"/>
    <w:rsid w:val="00577B75"/>
    <w:rsid w:val="00581685"/>
    <w:rsid w:val="005816FC"/>
    <w:rsid w:val="005818FC"/>
    <w:rsid w:val="00581B19"/>
    <w:rsid w:val="005820E8"/>
    <w:rsid w:val="00583DEF"/>
    <w:rsid w:val="00584462"/>
    <w:rsid w:val="00585919"/>
    <w:rsid w:val="00585B3C"/>
    <w:rsid w:val="00586319"/>
    <w:rsid w:val="00586CA0"/>
    <w:rsid w:val="00587A07"/>
    <w:rsid w:val="0059041B"/>
    <w:rsid w:val="00591286"/>
    <w:rsid w:val="0059152C"/>
    <w:rsid w:val="00591F16"/>
    <w:rsid w:val="00591F86"/>
    <w:rsid w:val="00592398"/>
    <w:rsid w:val="005931CD"/>
    <w:rsid w:val="005938B3"/>
    <w:rsid w:val="00594B51"/>
    <w:rsid w:val="00596B57"/>
    <w:rsid w:val="005973A2"/>
    <w:rsid w:val="005976D7"/>
    <w:rsid w:val="005A0752"/>
    <w:rsid w:val="005A0802"/>
    <w:rsid w:val="005A0C5A"/>
    <w:rsid w:val="005A0EFE"/>
    <w:rsid w:val="005A126E"/>
    <w:rsid w:val="005A1C91"/>
    <w:rsid w:val="005A1DB8"/>
    <w:rsid w:val="005A24E4"/>
    <w:rsid w:val="005A26E8"/>
    <w:rsid w:val="005A2BAE"/>
    <w:rsid w:val="005A3112"/>
    <w:rsid w:val="005A3948"/>
    <w:rsid w:val="005A5CB6"/>
    <w:rsid w:val="005A5DBE"/>
    <w:rsid w:val="005A6221"/>
    <w:rsid w:val="005A6F4A"/>
    <w:rsid w:val="005A732F"/>
    <w:rsid w:val="005A79D4"/>
    <w:rsid w:val="005B072C"/>
    <w:rsid w:val="005B1350"/>
    <w:rsid w:val="005B2552"/>
    <w:rsid w:val="005B2A1B"/>
    <w:rsid w:val="005B3F2E"/>
    <w:rsid w:val="005B4104"/>
    <w:rsid w:val="005B4CD5"/>
    <w:rsid w:val="005B4D14"/>
    <w:rsid w:val="005B53A8"/>
    <w:rsid w:val="005B61ED"/>
    <w:rsid w:val="005B64B0"/>
    <w:rsid w:val="005B71AB"/>
    <w:rsid w:val="005B753C"/>
    <w:rsid w:val="005B7ECA"/>
    <w:rsid w:val="005C001E"/>
    <w:rsid w:val="005C0038"/>
    <w:rsid w:val="005C05A7"/>
    <w:rsid w:val="005C084E"/>
    <w:rsid w:val="005C0BFF"/>
    <w:rsid w:val="005C0D7B"/>
    <w:rsid w:val="005C116F"/>
    <w:rsid w:val="005C2E19"/>
    <w:rsid w:val="005C3F27"/>
    <w:rsid w:val="005C6FCE"/>
    <w:rsid w:val="005D01B3"/>
    <w:rsid w:val="005D01EA"/>
    <w:rsid w:val="005D0760"/>
    <w:rsid w:val="005D083A"/>
    <w:rsid w:val="005D15F9"/>
    <w:rsid w:val="005D195A"/>
    <w:rsid w:val="005D1CC4"/>
    <w:rsid w:val="005D2786"/>
    <w:rsid w:val="005D3647"/>
    <w:rsid w:val="005D3765"/>
    <w:rsid w:val="005D424B"/>
    <w:rsid w:val="005D440B"/>
    <w:rsid w:val="005D48E6"/>
    <w:rsid w:val="005D4C82"/>
    <w:rsid w:val="005D4D92"/>
    <w:rsid w:val="005D5D15"/>
    <w:rsid w:val="005D5D9F"/>
    <w:rsid w:val="005D6839"/>
    <w:rsid w:val="005D69E9"/>
    <w:rsid w:val="005D6A1B"/>
    <w:rsid w:val="005D6E52"/>
    <w:rsid w:val="005D7A20"/>
    <w:rsid w:val="005D7E10"/>
    <w:rsid w:val="005E0A00"/>
    <w:rsid w:val="005E21FB"/>
    <w:rsid w:val="005E241F"/>
    <w:rsid w:val="005E2D9D"/>
    <w:rsid w:val="005E31BA"/>
    <w:rsid w:val="005E32C2"/>
    <w:rsid w:val="005E32E2"/>
    <w:rsid w:val="005E4027"/>
    <w:rsid w:val="005E4786"/>
    <w:rsid w:val="005E5379"/>
    <w:rsid w:val="005E6964"/>
    <w:rsid w:val="005E7728"/>
    <w:rsid w:val="005E7C46"/>
    <w:rsid w:val="005F0C6D"/>
    <w:rsid w:val="005F1692"/>
    <w:rsid w:val="005F224E"/>
    <w:rsid w:val="005F37C5"/>
    <w:rsid w:val="005F39BF"/>
    <w:rsid w:val="005F3B54"/>
    <w:rsid w:val="005F40E8"/>
    <w:rsid w:val="005F419C"/>
    <w:rsid w:val="005F548F"/>
    <w:rsid w:val="005F6F64"/>
    <w:rsid w:val="005F7744"/>
    <w:rsid w:val="00600A85"/>
    <w:rsid w:val="00601388"/>
    <w:rsid w:val="00601F91"/>
    <w:rsid w:val="00602131"/>
    <w:rsid w:val="006025A9"/>
    <w:rsid w:val="006030D6"/>
    <w:rsid w:val="00603187"/>
    <w:rsid w:val="00604572"/>
    <w:rsid w:val="00604EEA"/>
    <w:rsid w:val="00605DD2"/>
    <w:rsid w:val="00606C99"/>
    <w:rsid w:val="00611638"/>
    <w:rsid w:val="0061175C"/>
    <w:rsid w:val="006118EF"/>
    <w:rsid w:val="00611B63"/>
    <w:rsid w:val="006127A6"/>
    <w:rsid w:val="00613148"/>
    <w:rsid w:val="00613681"/>
    <w:rsid w:val="00613FD0"/>
    <w:rsid w:val="006143A1"/>
    <w:rsid w:val="00615856"/>
    <w:rsid w:val="00615EC1"/>
    <w:rsid w:val="00616C88"/>
    <w:rsid w:val="00617CED"/>
    <w:rsid w:val="00617E49"/>
    <w:rsid w:val="0062018F"/>
    <w:rsid w:val="006204F8"/>
    <w:rsid w:val="00621AD5"/>
    <w:rsid w:val="00622711"/>
    <w:rsid w:val="00622A92"/>
    <w:rsid w:val="00622D10"/>
    <w:rsid w:val="00622FFC"/>
    <w:rsid w:val="00623514"/>
    <w:rsid w:val="00623822"/>
    <w:rsid w:val="00623D0F"/>
    <w:rsid w:val="00624EE4"/>
    <w:rsid w:val="00624F27"/>
    <w:rsid w:val="00625539"/>
    <w:rsid w:val="006257E2"/>
    <w:rsid w:val="00625C5C"/>
    <w:rsid w:val="00625DAD"/>
    <w:rsid w:val="006260CE"/>
    <w:rsid w:val="0062675D"/>
    <w:rsid w:val="0062724A"/>
    <w:rsid w:val="0062736D"/>
    <w:rsid w:val="0062763E"/>
    <w:rsid w:val="006305D8"/>
    <w:rsid w:val="006309C9"/>
    <w:rsid w:val="0063221D"/>
    <w:rsid w:val="006328AD"/>
    <w:rsid w:val="00632B47"/>
    <w:rsid w:val="006332BC"/>
    <w:rsid w:val="00633A58"/>
    <w:rsid w:val="00633C22"/>
    <w:rsid w:val="00633C27"/>
    <w:rsid w:val="0063546D"/>
    <w:rsid w:val="00635827"/>
    <w:rsid w:val="00636925"/>
    <w:rsid w:val="006372BE"/>
    <w:rsid w:val="0063754C"/>
    <w:rsid w:val="00637585"/>
    <w:rsid w:val="00637C2E"/>
    <w:rsid w:val="006408C6"/>
    <w:rsid w:val="00640BEB"/>
    <w:rsid w:val="00640FCF"/>
    <w:rsid w:val="00640FD0"/>
    <w:rsid w:val="00641B9A"/>
    <w:rsid w:val="00641D2E"/>
    <w:rsid w:val="006425AC"/>
    <w:rsid w:val="00642659"/>
    <w:rsid w:val="00642DF1"/>
    <w:rsid w:val="006447B0"/>
    <w:rsid w:val="006448ED"/>
    <w:rsid w:val="00644A99"/>
    <w:rsid w:val="00645DB2"/>
    <w:rsid w:val="00646FEB"/>
    <w:rsid w:val="0064773D"/>
    <w:rsid w:val="006477C5"/>
    <w:rsid w:val="006518DE"/>
    <w:rsid w:val="00652A3E"/>
    <w:rsid w:val="0065313B"/>
    <w:rsid w:val="00653AA6"/>
    <w:rsid w:val="0065485F"/>
    <w:rsid w:val="00654A95"/>
    <w:rsid w:val="00654C2F"/>
    <w:rsid w:val="00654C94"/>
    <w:rsid w:val="00654DC8"/>
    <w:rsid w:val="006556C8"/>
    <w:rsid w:val="006557BF"/>
    <w:rsid w:val="00656919"/>
    <w:rsid w:val="0065691C"/>
    <w:rsid w:val="00657231"/>
    <w:rsid w:val="00657655"/>
    <w:rsid w:val="00660325"/>
    <w:rsid w:val="00660C04"/>
    <w:rsid w:val="006617B9"/>
    <w:rsid w:val="006629F6"/>
    <w:rsid w:val="006630F9"/>
    <w:rsid w:val="006633EB"/>
    <w:rsid w:val="0066432B"/>
    <w:rsid w:val="00664552"/>
    <w:rsid w:val="0066462B"/>
    <w:rsid w:val="00665643"/>
    <w:rsid w:val="0066654C"/>
    <w:rsid w:val="00666A62"/>
    <w:rsid w:val="00666B6E"/>
    <w:rsid w:val="00667DCF"/>
    <w:rsid w:val="00667DFA"/>
    <w:rsid w:val="0067131F"/>
    <w:rsid w:val="00671CEB"/>
    <w:rsid w:val="0067352F"/>
    <w:rsid w:val="00673A3F"/>
    <w:rsid w:val="00675438"/>
    <w:rsid w:val="0067582F"/>
    <w:rsid w:val="00675A26"/>
    <w:rsid w:val="00675D82"/>
    <w:rsid w:val="006771FF"/>
    <w:rsid w:val="006774BD"/>
    <w:rsid w:val="00680807"/>
    <w:rsid w:val="0068198D"/>
    <w:rsid w:val="006820F7"/>
    <w:rsid w:val="00682B33"/>
    <w:rsid w:val="00683095"/>
    <w:rsid w:val="00683416"/>
    <w:rsid w:val="00683D91"/>
    <w:rsid w:val="00685776"/>
    <w:rsid w:val="00685A3A"/>
    <w:rsid w:val="00685EA8"/>
    <w:rsid w:val="00686CC0"/>
    <w:rsid w:val="00686DE7"/>
    <w:rsid w:val="00686EF8"/>
    <w:rsid w:val="00687BC3"/>
    <w:rsid w:val="00690AE5"/>
    <w:rsid w:val="00690B74"/>
    <w:rsid w:val="00691179"/>
    <w:rsid w:val="0069167E"/>
    <w:rsid w:val="00691820"/>
    <w:rsid w:val="00691EB9"/>
    <w:rsid w:val="00692547"/>
    <w:rsid w:val="00693168"/>
    <w:rsid w:val="00693281"/>
    <w:rsid w:val="00693429"/>
    <w:rsid w:val="006934B4"/>
    <w:rsid w:val="00693593"/>
    <w:rsid w:val="00693E9F"/>
    <w:rsid w:val="006942C1"/>
    <w:rsid w:val="00694429"/>
    <w:rsid w:val="00694A2A"/>
    <w:rsid w:val="006951C3"/>
    <w:rsid w:val="00695407"/>
    <w:rsid w:val="00695972"/>
    <w:rsid w:val="00696076"/>
    <w:rsid w:val="0069621E"/>
    <w:rsid w:val="00696D28"/>
    <w:rsid w:val="0069719F"/>
    <w:rsid w:val="00697221"/>
    <w:rsid w:val="0069767D"/>
    <w:rsid w:val="006A002E"/>
    <w:rsid w:val="006A181F"/>
    <w:rsid w:val="006A18D3"/>
    <w:rsid w:val="006A1AA4"/>
    <w:rsid w:val="006A21B5"/>
    <w:rsid w:val="006A2365"/>
    <w:rsid w:val="006A267C"/>
    <w:rsid w:val="006A2726"/>
    <w:rsid w:val="006A38FC"/>
    <w:rsid w:val="006A3B5B"/>
    <w:rsid w:val="006A415E"/>
    <w:rsid w:val="006A481A"/>
    <w:rsid w:val="006A54B8"/>
    <w:rsid w:val="006A57DC"/>
    <w:rsid w:val="006A5AAD"/>
    <w:rsid w:val="006A5CBE"/>
    <w:rsid w:val="006A63A8"/>
    <w:rsid w:val="006A704D"/>
    <w:rsid w:val="006A79B6"/>
    <w:rsid w:val="006B140F"/>
    <w:rsid w:val="006B29E0"/>
    <w:rsid w:val="006B314C"/>
    <w:rsid w:val="006B4308"/>
    <w:rsid w:val="006B4B30"/>
    <w:rsid w:val="006B5771"/>
    <w:rsid w:val="006B57F1"/>
    <w:rsid w:val="006B5EEE"/>
    <w:rsid w:val="006B6614"/>
    <w:rsid w:val="006B6EF6"/>
    <w:rsid w:val="006B6F19"/>
    <w:rsid w:val="006C003C"/>
    <w:rsid w:val="006C0EB9"/>
    <w:rsid w:val="006C181B"/>
    <w:rsid w:val="006C1D8D"/>
    <w:rsid w:val="006C4506"/>
    <w:rsid w:val="006C4D92"/>
    <w:rsid w:val="006C537E"/>
    <w:rsid w:val="006C687F"/>
    <w:rsid w:val="006C6882"/>
    <w:rsid w:val="006C6E2D"/>
    <w:rsid w:val="006C6FB0"/>
    <w:rsid w:val="006C708E"/>
    <w:rsid w:val="006C71CC"/>
    <w:rsid w:val="006C72B3"/>
    <w:rsid w:val="006C72C8"/>
    <w:rsid w:val="006C765F"/>
    <w:rsid w:val="006C7A19"/>
    <w:rsid w:val="006C7C21"/>
    <w:rsid w:val="006C7FAF"/>
    <w:rsid w:val="006D05B2"/>
    <w:rsid w:val="006D1138"/>
    <w:rsid w:val="006D1417"/>
    <w:rsid w:val="006D1422"/>
    <w:rsid w:val="006D17C3"/>
    <w:rsid w:val="006D2023"/>
    <w:rsid w:val="006D2C4F"/>
    <w:rsid w:val="006D3339"/>
    <w:rsid w:val="006D4B6F"/>
    <w:rsid w:val="006D4CBB"/>
    <w:rsid w:val="006D4E9C"/>
    <w:rsid w:val="006D4F86"/>
    <w:rsid w:val="006D5AFA"/>
    <w:rsid w:val="006D7201"/>
    <w:rsid w:val="006D74AF"/>
    <w:rsid w:val="006E0A1E"/>
    <w:rsid w:val="006E13A5"/>
    <w:rsid w:val="006E31EA"/>
    <w:rsid w:val="006E33E8"/>
    <w:rsid w:val="006E3C9C"/>
    <w:rsid w:val="006E6081"/>
    <w:rsid w:val="006E60E4"/>
    <w:rsid w:val="006E6747"/>
    <w:rsid w:val="006E7B0D"/>
    <w:rsid w:val="006F12F3"/>
    <w:rsid w:val="006F18D0"/>
    <w:rsid w:val="006F3771"/>
    <w:rsid w:val="006F37B3"/>
    <w:rsid w:val="006F3BD8"/>
    <w:rsid w:val="006F3F70"/>
    <w:rsid w:val="006F49B4"/>
    <w:rsid w:val="006F4A00"/>
    <w:rsid w:val="006F525A"/>
    <w:rsid w:val="006F6CAD"/>
    <w:rsid w:val="006F71ED"/>
    <w:rsid w:val="006F7437"/>
    <w:rsid w:val="006F751D"/>
    <w:rsid w:val="00701B5E"/>
    <w:rsid w:val="00702046"/>
    <w:rsid w:val="007026A8"/>
    <w:rsid w:val="00702B82"/>
    <w:rsid w:val="00704BAA"/>
    <w:rsid w:val="007064B2"/>
    <w:rsid w:val="00706836"/>
    <w:rsid w:val="00706CF2"/>
    <w:rsid w:val="0071179B"/>
    <w:rsid w:val="007124DE"/>
    <w:rsid w:val="00712719"/>
    <w:rsid w:val="00712A4B"/>
    <w:rsid w:val="00713147"/>
    <w:rsid w:val="00713C9C"/>
    <w:rsid w:val="00714435"/>
    <w:rsid w:val="00717235"/>
    <w:rsid w:val="007173F3"/>
    <w:rsid w:val="00717A1C"/>
    <w:rsid w:val="007201CA"/>
    <w:rsid w:val="00720851"/>
    <w:rsid w:val="00720F83"/>
    <w:rsid w:val="0072335A"/>
    <w:rsid w:val="00723B3B"/>
    <w:rsid w:val="00724900"/>
    <w:rsid w:val="00724BB8"/>
    <w:rsid w:val="00724DDB"/>
    <w:rsid w:val="00725643"/>
    <w:rsid w:val="0072645B"/>
    <w:rsid w:val="007268E3"/>
    <w:rsid w:val="007277EF"/>
    <w:rsid w:val="00730063"/>
    <w:rsid w:val="00730D69"/>
    <w:rsid w:val="00731D9D"/>
    <w:rsid w:val="0073218D"/>
    <w:rsid w:val="00732FF1"/>
    <w:rsid w:val="00733409"/>
    <w:rsid w:val="007341BA"/>
    <w:rsid w:val="00734FBD"/>
    <w:rsid w:val="007358C1"/>
    <w:rsid w:val="00736B06"/>
    <w:rsid w:val="007379F6"/>
    <w:rsid w:val="0074124E"/>
    <w:rsid w:val="00743352"/>
    <w:rsid w:val="00743365"/>
    <w:rsid w:val="00744627"/>
    <w:rsid w:val="0074479B"/>
    <w:rsid w:val="00744BBA"/>
    <w:rsid w:val="0074521A"/>
    <w:rsid w:val="0074623F"/>
    <w:rsid w:val="007466F6"/>
    <w:rsid w:val="007478C4"/>
    <w:rsid w:val="007478D1"/>
    <w:rsid w:val="00750ACA"/>
    <w:rsid w:val="007514FA"/>
    <w:rsid w:val="00751781"/>
    <w:rsid w:val="00751D5B"/>
    <w:rsid w:val="00751ED2"/>
    <w:rsid w:val="00752734"/>
    <w:rsid w:val="007529A1"/>
    <w:rsid w:val="00752A50"/>
    <w:rsid w:val="007565F3"/>
    <w:rsid w:val="0075681E"/>
    <w:rsid w:val="007568C5"/>
    <w:rsid w:val="00756C38"/>
    <w:rsid w:val="00756CE1"/>
    <w:rsid w:val="007573B9"/>
    <w:rsid w:val="007574F2"/>
    <w:rsid w:val="007576C7"/>
    <w:rsid w:val="00757CB6"/>
    <w:rsid w:val="00760065"/>
    <w:rsid w:val="00760727"/>
    <w:rsid w:val="00761435"/>
    <w:rsid w:val="0076167D"/>
    <w:rsid w:val="00762066"/>
    <w:rsid w:val="00762B00"/>
    <w:rsid w:val="00762D39"/>
    <w:rsid w:val="00762D96"/>
    <w:rsid w:val="007646AD"/>
    <w:rsid w:val="00764B26"/>
    <w:rsid w:val="00764C2D"/>
    <w:rsid w:val="007651A5"/>
    <w:rsid w:val="00765711"/>
    <w:rsid w:val="00765876"/>
    <w:rsid w:val="00766199"/>
    <w:rsid w:val="0076663E"/>
    <w:rsid w:val="00766CA9"/>
    <w:rsid w:val="00766CDE"/>
    <w:rsid w:val="00766CE2"/>
    <w:rsid w:val="00766EA2"/>
    <w:rsid w:val="007711DD"/>
    <w:rsid w:val="00771D83"/>
    <w:rsid w:val="00773179"/>
    <w:rsid w:val="0077342E"/>
    <w:rsid w:val="00773935"/>
    <w:rsid w:val="00773CEB"/>
    <w:rsid w:val="00774302"/>
    <w:rsid w:val="00774EF7"/>
    <w:rsid w:val="00775005"/>
    <w:rsid w:val="007751FE"/>
    <w:rsid w:val="007756DD"/>
    <w:rsid w:val="00775FA9"/>
    <w:rsid w:val="00777182"/>
    <w:rsid w:val="00777630"/>
    <w:rsid w:val="00777D20"/>
    <w:rsid w:val="00781723"/>
    <w:rsid w:val="00781B26"/>
    <w:rsid w:val="007827CF"/>
    <w:rsid w:val="00782D0E"/>
    <w:rsid w:val="00783662"/>
    <w:rsid w:val="00783A73"/>
    <w:rsid w:val="007845B1"/>
    <w:rsid w:val="00784C3F"/>
    <w:rsid w:val="0079069D"/>
    <w:rsid w:val="00790A16"/>
    <w:rsid w:val="0079188E"/>
    <w:rsid w:val="0079201E"/>
    <w:rsid w:val="007921A8"/>
    <w:rsid w:val="00792597"/>
    <w:rsid w:val="0079349F"/>
    <w:rsid w:val="00794960"/>
    <w:rsid w:val="00795605"/>
    <w:rsid w:val="007972C7"/>
    <w:rsid w:val="007A01AA"/>
    <w:rsid w:val="007A0AF3"/>
    <w:rsid w:val="007A2C62"/>
    <w:rsid w:val="007A41D8"/>
    <w:rsid w:val="007A4927"/>
    <w:rsid w:val="007A49C8"/>
    <w:rsid w:val="007A4D3C"/>
    <w:rsid w:val="007A5930"/>
    <w:rsid w:val="007A5948"/>
    <w:rsid w:val="007A5EB0"/>
    <w:rsid w:val="007A6055"/>
    <w:rsid w:val="007A68F1"/>
    <w:rsid w:val="007A6ADD"/>
    <w:rsid w:val="007A7026"/>
    <w:rsid w:val="007B0929"/>
    <w:rsid w:val="007B10EB"/>
    <w:rsid w:val="007B17B2"/>
    <w:rsid w:val="007B1BF1"/>
    <w:rsid w:val="007B3B61"/>
    <w:rsid w:val="007B53B8"/>
    <w:rsid w:val="007B5E87"/>
    <w:rsid w:val="007B60CC"/>
    <w:rsid w:val="007B6DF3"/>
    <w:rsid w:val="007C0186"/>
    <w:rsid w:val="007C118D"/>
    <w:rsid w:val="007C1459"/>
    <w:rsid w:val="007C1719"/>
    <w:rsid w:val="007C2337"/>
    <w:rsid w:val="007C297E"/>
    <w:rsid w:val="007C397A"/>
    <w:rsid w:val="007C3E93"/>
    <w:rsid w:val="007C4016"/>
    <w:rsid w:val="007C4313"/>
    <w:rsid w:val="007C5539"/>
    <w:rsid w:val="007C5687"/>
    <w:rsid w:val="007C79E6"/>
    <w:rsid w:val="007D1989"/>
    <w:rsid w:val="007D21D9"/>
    <w:rsid w:val="007D241B"/>
    <w:rsid w:val="007D2CD4"/>
    <w:rsid w:val="007D35CE"/>
    <w:rsid w:val="007D3E55"/>
    <w:rsid w:val="007D4463"/>
    <w:rsid w:val="007D59C9"/>
    <w:rsid w:val="007D5F0F"/>
    <w:rsid w:val="007D626D"/>
    <w:rsid w:val="007D704D"/>
    <w:rsid w:val="007D7364"/>
    <w:rsid w:val="007D741F"/>
    <w:rsid w:val="007E02AC"/>
    <w:rsid w:val="007E1287"/>
    <w:rsid w:val="007E138F"/>
    <w:rsid w:val="007E1579"/>
    <w:rsid w:val="007E1E35"/>
    <w:rsid w:val="007E2DA4"/>
    <w:rsid w:val="007E2E73"/>
    <w:rsid w:val="007E36A2"/>
    <w:rsid w:val="007E4C3C"/>
    <w:rsid w:val="007E4F87"/>
    <w:rsid w:val="007E6673"/>
    <w:rsid w:val="007E7828"/>
    <w:rsid w:val="007F0374"/>
    <w:rsid w:val="007F0977"/>
    <w:rsid w:val="007F0EEF"/>
    <w:rsid w:val="007F1B92"/>
    <w:rsid w:val="007F1C49"/>
    <w:rsid w:val="007F2BAA"/>
    <w:rsid w:val="007F2C64"/>
    <w:rsid w:val="007F2D86"/>
    <w:rsid w:val="007F3BB6"/>
    <w:rsid w:val="007F516A"/>
    <w:rsid w:val="007F76DD"/>
    <w:rsid w:val="007F79FC"/>
    <w:rsid w:val="007F7A0E"/>
    <w:rsid w:val="007F7E77"/>
    <w:rsid w:val="00800818"/>
    <w:rsid w:val="008015B5"/>
    <w:rsid w:val="00801A8C"/>
    <w:rsid w:val="008023AD"/>
    <w:rsid w:val="00802A51"/>
    <w:rsid w:val="00803706"/>
    <w:rsid w:val="00803928"/>
    <w:rsid w:val="00805081"/>
    <w:rsid w:val="00806440"/>
    <w:rsid w:val="0080698E"/>
    <w:rsid w:val="00810F7C"/>
    <w:rsid w:val="00811826"/>
    <w:rsid w:val="00811AAC"/>
    <w:rsid w:val="00813BA2"/>
    <w:rsid w:val="00813EB5"/>
    <w:rsid w:val="00814285"/>
    <w:rsid w:val="00815831"/>
    <w:rsid w:val="0081718E"/>
    <w:rsid w:val="0082097A"/>
    <w:rsid w:val="008226DC"/>
    <w:rsid w:val="00822AE2"/>
    <w:rsid w:val="008231DB"/>
    <w:rsid w:val="008232C1"/>
    <w:rsid w:val="00825175"/>
    <w:rsid w:val="00826A45"/>
    <w:rsid w:val="00827A6C"/>
    <w:rsid w:val="00827C2B"/>
    <w:rsid w:val="00827E02"/>
    <w:rsid w:val="00830C90"/>
    <w:rsid w:val="00831755"/>
    <w:rsid w:val="0083230F"/>
    <w:rsid w:val="00832A01"/>
    <w:rsid w:val="00833144"/>
    <w:rsid w:val="0083314A"/>
    <w:rsid w:val="00833271"/>
    <w:rsid w:val="00833365"/>
    <w:rsid w:val="008333D3"/>
    <w:rsid w:val="00833DD0"/>
    <w:rsid w:val="00835042"/>
    <w:rsid w:val="008354FD"/>
    <w:rsid w:val="00836B31"/>
    <w:rsid w:val="00836C02"/>
    <w:rsid w:val="00837026"/>
    <w:rsid w:val="00837C7A"/>
    <w:rsid w:val="0083A3E2"/>
    <w:rsid w:val="00840EE7"/>
    <w:rsid w:val="00841620"/>
    <w:rsid w:val="00841627"/>
    <w:rsid w:val="008418E0"/>
    <w:rsid w:val="00841914"/>
    <w:rsid w:val="0084272E"/>
    <w:rsid w:val="00842A5E"/>
    <w:rsid w:val="00843CB8"/>
    <w:rsid w:val="00845529"/>
    <w:rsid w:val="00845A40"/>
    <w:rsid w:val="008465E0"/>
    <w:rsid w:val="008467E9"/>
    <w:rsid w:val="008469BD"/>
    <w:rsid w:val="00847814"/>
    <w:rsid w:val="0084794A"/>
    <w:rsid w:val="00847DB2"/>
    <w:rsid w:val="00847E62"/>
    <w:rsid w:val="00850134"/>
    <w:rsid w:val="00850279"/>
    <w:rsid w:val="00850E8F"/>
    <w:rsid w:val="008523B2"/>
    <w:rsid w:val="00852C48"/>
    <w:rsid w:val="00854170"/>
    <w:rsid w:val="008545DB"/>
    <w:rsid w:val="008547BA"/>
    <w:rsid w:val="00854C78"/>
    <w:rsid w:val="008550C5"/>
    <w:rsid w:val="00857518"/>
    <w:rsid w:val="00860635"/>
    <w:rsid w:val="008606B7"/>
    <w:rsid w:val="0086084A"/>
    <w:rsid w:val="0086111E"/>
    <w:rsid w:val="0086131F"/>
    <w:rsid w:val="00861F70"/>
    <w:rsid w:val="008623A3"/>
    <w:rsid w:val="00862931"/>
    <w:rsid w:val="00862B71"/>
    <w:rsid w:val="00862F3E"/>
    <w:rsid w:val="00863126"/>
    <w:rsid w:val="008631A5"/>
    <w:rsid w:val="00863A56"/>
    <w:rsid w:val="00863E67"/>
    <w:rsid w:val="00864029"/>
    <w:rsid w:val="00864F34"/>
    <w:rsid w:val="00864F7A"/>
    <w:rsid w:val="008652AC"/>
    <w:rsid w:val="00865429"/>
    <w:rsid w:val="0086591C"/>
    <w:rsid w:val="00865D57"/>
    <w:rsid w:val="00867A1D"/>
    <w:rsid w:val="00867F68"/>
    <w:rsid w:val="008702FD"/>
    <w:rsid w:val="00870ADB"/>
    <w:rsid w:val="00870C99"/>
    <w:rsid w:val="00870E1B"/>
    <w:rsid w:val="00872221"/>
    <w:rsid w:val="00872B4F"/>
    <w:rsid w:val="00872C2F"/>
    <w:rsid w:val="00872FE7"/>
    <w:rsid w:val="00873764"/>
    <w:rsid w:val="00873C47"/>
    <w:rsid w:val="00873CE6"/>
    <w:rsid w:val="00873D8C"/>
    <w:rsid w:val="00873DFE"/>
    <w:rsid w:val="008742EB"/>
    <w:rsid w:val="008744B9"/>
    <w:rsid w:val="00874645"/>
    <w:rsid w:val="00874EE2"/>
    <w:rsid w:val="00875661"/>
    <w:rsid w:val="00875979"/>
    <w:rsid w:val="008760A6"/>
    <w:rsid w:val="00876279"/>
    <w:rsid w:val="008763D8"/>
    <w:rsid w:val="00876C13"/>
    <w:rsid w:val="00877401"/>
    <w:rsid w:val="00877578"/>
    <w:rsid w:val="00877AA3"/>
    <w:rsid w:val="00880259"/>
    <w:rsid w:val="008803EA"/>
    <w:rsid w:val="0088040B"/>
    <w:rsid w:val="00880D58"/>
    <w:rsid w:val="00881CE0"/>
    <w:rsid w:val="00881D1A"/>
    <w:rsid w:val="00883178"/>
    <w:rsid w:val="00883AC0"/>
    <w:rsid w:val="008840B1"/>
    <w:rsid w:val="00884C62"/>
    <w:rsid w:val="0088533D"/>
    <w:rsid w:val="00885AAE"/>
    <w:rsid w:val="0088632F"/>
    <w:rsid w:val="00886CC1"/>
    <w:rsid w:val="00886F7F"/>
    <w:rsid w:val="00887064"/>
    <w:rsid w:val="0088725A"/>
    <w:rsid w:val="00890112"/>
    <w:rsid w:val="008902AF"/>
    <w:rsid w:val="00890623"/>
    <w:rsid w:val="00891244"/>
    <w:rsid w:val="00891382"/>
    <w:rsid w:val="00891542"/>
    <w:rsid w:val="008915B3"/>
    <w:rsid w:val="008924E3"/>
    <w:rsid w:val="0089281B"/>
    <w:rsid w:val="00892C59"/>
    <w:rsid w:val="00894312"/>
    <w:rsid w:val="00894B02"/>
    <w:rsid w:val="00895A91"/>
    <w:rsid w:val="008970A2"/>
    <w:rsid w:val="00897842"/>
    <w:rsid w:val="008A1ECD"/>
    <w:rsid w:val="008A21D1"/>
    <w:rsid w:val="008A2319"/>
    <w:rsid w:val="008A2BD6"/>
    <w:rsid w:val="008A2F96"/>
    <w:rsid w:val="008A30BF"/>
    <w:rsid w:val="008A3CBC"/>
    <w:rsid w:val="008A4355"/>
    <w:rsid w:val="008A47F6"/>
    <w:rsid w:val="008A4D39"/>
    <w:rsid w:val="008A4D49"/>
    <w:rsid w:val="008A6645"/>
    <w:rsid w:val="008A71AA"/>
    <w:rsid w:val="008A71C6"/>
    <w:rsid w:val="008A781E"/>
    <w:rsid w:val="008A7933"/>
    <w:rsid w:val="008B282E"/>
    <w:rsid w:val="008B36A4"/>
    <w:rsid w:val="008B3BF3"/>
    <w:rsid w:val="008B3D3E"/>
    <w:rsid w:val="008B3FE7"/>
    <w:rsid w:val="008B42C0"/>
    <w:rsid w:val="008B447C"/>
    <w:rsid w:val="008B447E"/>
    <w:rsid w:val="008B52DB"/>
    <w:rsid w:val="008B559E"/>
    <w:rsid w:val="008B58FC"/>
    <w:rsid w:val="008B7B37"/>
    <w:rsid w:val="008C0074"/>
    <w:rsid w:val="008C0808"/>
    <w:rsid w:val="008C142F"/>
    <w:rsid w:val="008C15BA"/>
    <w:rsid w:val="008C1988"/>
    <w:rsid w:val="008C19EC"/>
    <w:rsid w:val="008C22BD"/>
    <w:rsid w:val="008C23D4"/>
    <w:rsid w:val="008C259D"/>
    <w:rsid w:val="008C269E"/>
    <w:rsid w:val="008C2EBA"/>
    <w:rsid w:val="008C344C"/>
    <w:rsid w:val="008C395D"/>
    <w:rsid w:val="008C5C5E"/>
    <w:rsid w:val="008C6519"/>
    <w:rsid w:val="008C65EE"/>
    <w:rsid w:val="008C6DE7"/>
    <w:rsid w:val="008D096F"/>
    <w:rsid w:val="008D1206"/>
    <w:rsid w:val="008D1518"/>
    <w:rsid w:val="008D16F8"/>
    <w:rsid w:val="008D2B74"/>
    <w:rsid w:val="008D3473"/>
    <w:rsid w:val="008D49DA"/>
    <w:rsid w:val="008D4E13"/>
    <w:rsid w:val="008D548F"/>
    <w:rsid w:val="008D54E6"/>
    <w:rsid w:val="008D59A2"/>
    <w:rsid w:val="008D6444"/>
    <w:rsid w:val="008D7742"/>
    <w:rsid w:val="008D791D"/>
    <w:rsid w:val="008E0623"/>
    <w:rsid w:val="008E0D9A"/>
    <w:rsid w:val="008E105B"/>
    <w:rsid w:val="008E20A4"/>
    <w:rsid w:val="008E2129"/>
    <w:rsid w:val="008E2438"/>
    <w:rsid w:val="008E36E5"/>
    <w:rsid w:val="008E3871"/>
    <w:rsid w:val="008E3B19"/>
    <w:rsid w:val="008E3E26"/>
    <w:rsid w:val="008E47A3"/>
    <w:rsid w:val="008E47CC"/>
    <w:rsid w:val="008E5335"/>
    <w:rsid w:val="008E5646"/>
    <w:rsid w:val="008E565B"/>
    <w:rsid w:val="008E5B7A"/>
    <w:rsid w:val="008E5D74"/>
    <w:rsid w:val="008E5DC2"/>
    <w:rsid w:val="008E6149"/>
    <w:rsid w:val="008E6ABC"/>
    <w:rsid w:val="008E76FC"/>
    <w:rsid w:val="008E7783"/>
    <w:rsid w:val="008E79AD"/>
    <w:rsid w:val="008E7D5B"/>
    <w:rsid w:val="008E7D5E"/>
    <w:rsid w:val="008F0373"/>
    <w:rsid w:val="008F0566"/>
    <w:rsid w:val="008F091E"/>
    <w:rsid w:val="008F1E07"/>
    <w:rsid w:val="008F38B9"/>
    <w:rsid w:val="008F4AD4"/>
    <w:rsid w:val="008F4C9F"/>
    <w:rsid w:val="008F4F88"/>
    <w:rsid w:val="008F61E2"/>
    <w:rsid w:val="008F6A78"/>
    <w:rsid w:val="008F711E"/>
    <w:rsid w:val="009009E9"/>
    <w:rsid w:val="00901180"/>
    <w:rsid w:val="00901B8A"/>
    <w:rsid w:val="00901BF3"/>
    <w:rsid w:val="00901D31"/>
    <w:rsid w:val="00902DB2"/>
    <w:rsid w:val="00903992"/>
    <w:rsid w:val="0090509F"/>
    <w:rsid w:val="00905109"/>
    <w:rsid w:val="00905CFC"/>
    <w:rsid w:val="00906C75"/>
    <w:rsid w:val="00907A00"/>
    <w:rsid w:val="009102F2"/>
    <w:rsid w:val="00910BAD"/>
    <w:rsid w:val="00911888"/>
    <w:rsid w:val="00912134"/>
    <w:rsid w:val="00912408"/>
    <w:rsid w:val="009129E4"/>
    <w:rsid w:val="00912AA2"/>
    <w:rsid w:val="00912D2D"/>
    <w:rsid w:val="009133BA"/>
    <w:rsid w:val="0091483B"/>
    <w:rsid w:val="009149C5"/>
    <w:rsid w:val="00914F75"/>
    <w:rsid w:val="00915311"/>
    <w:rsid w:val="009158DF"/>
    <w:rsid w:val="009159C1"/>
    <w:rsid w:val="00915F6F"/>
    <w:rsid w:val="0091615E"/>
    <w:rsid w:val="00916AF1"/>
    <w:rsid w:val="00916CF9"/>
    <w:rsid w:val="00917ADB"/>
    <w:rsid w:val="009204CF"/>
    <w:rsid w:val="00920E8E"/>
    <w:rsid w:val="00922B07"/>
    <w:rsid w:val="0092451A"/>
    <w:rsid w:val="009249E1"/>
    <w:rsid w:val="00924A35"/>
    <w:rsid w:val="00924DDA"/>
    <w:rsid w:val="009251C2"/>
    <w:rsid w:val="009260EB"/>
    <w:rsid w:val="009266E1"/>
    <w:rsid w:val="00927100"/>
    <w:rsid w:val="00927185"/>
    <w:rsid w:val="009271C7"/>
    <w:rsid w:val="00927340"/>
    <w:rsid w:val="0092750B"/>
    <w:rsid w:val="009279F9"/>
    <w:rsid w:val="00927D55"/>
    <w:rsid w:val="009302F4"/>
    <w:rsid w:val="0093078B"/>
    <w:rsid w:val="0093120A"/>
    <w:rsid w:val="00931863"/>
    <w:rsid w:val="00931B68"/>
    <w:rsid w:val="00931E2A"/>
    <w:rsid w:val="00932EE6"/>
    <w:rsid w:val="00933256"/>
    <w:rsid w:val="00934239"/>
    <w:rsid w:val="00934995"/>
    <w:rsid w:val="009359DC"/>
    <w:rsid w:val="00935FD5"/>
    <w:rsid w:val="00936000"/>
    <w:rsid w:val="009362CF"/>
    <w:rsid w:val="009365F2"/>
    <w:rsid w:val="00936655"/>
    <w:rsid w:val="00936814"/>
    <w:rsid w:val="00936910"/>
    <w:rsid w:val="00940392"/>
    <w:rsid w:val="00940865"/>
    <w:rsid w:val="00940B47"/>
    <w:rsid w:val="009413DE"/>
    <w:rsid w:val="009413E2"/>
    <w:rsid w:val="009418F1"/>
    <w:rsid w:val="00942B7C"/>
    <w:rsid w:val="00943866"/>
    <w:rsid w:val="00944766"/>
    <w:rsid w:val="00944883"/>
    <w:rsid w:val="0094565B"/>
    <w:rsid w:val="00945D57"/>
    <w:rsid w:val="00946824"/>
    <w:rsid w:val="00946FD0"/>
    <w:rsid w:val="00951234"/>
    <w:rsid w:val="009517D7"/>
    <w:rsid w:val="00951A59"/>
    <w:rsid w:val="00951D24"/>
    <w:rsid w:val="0095258E"/>
    <w:rsid w:val="00952B89"/>
    <w:rsid w:val="00952D96"/>
    <w:rsid w:val="00952E89"/>
    <w:rsid w:val="009532D3"/>
    <w:rsid w:val="009538BC"/>
    <w:rsid w:val="0095477A"/>
    <w:rsid w:val="0095569A"/>
    <w:rsid w:val="00955B48"/>
    <w:rsid w:val="00955DFB"/>
    <w:rsid w:val="009568BD"/>
    <w:rsid w:val="00957114"/>
    <w:rsid w:val="0095772F"/>
    <w:rsid w:val="00957A44"/>
    <w:rsid w:val="0095B499"/>
    <w:rsid w:val="00960CEF"/>
    <w:rsid w:val="00961236"/>
    <w:rsid w:val="00962208"/>
    <w:rsid w:val="0096232C"/>
    <w:rsid w:val="0096252A"/>
    <w:rsid w:val="00963083"/>
    <w:rsid w:val="00963673"/>
    <w:rsid w:val="00963827"/>
    <w:rsid w:val="00963D5A"/>
    <w:rsid w:val="00964202"/>
    <w:rsid w:val="0096489F"/>
    <w:rsid w:val="00964B54"/>
    <w:rsid w:val="00964B87"/>
    <w:rsid w:val="00964BDF"/>
    <w:rsid w:val="00964F23"/>
    <w:rsid w:val="00965748"/>
    <w:rsid w:val="0096746F"/>
    <w:rsid w:val="0096751C"/>
    <w:rsid w:val="00967996"/>
    <w:rsid w:val="00967A00"/>
    <w:rsid w:val="0097016F"/>
    <w:rsid w:val="0097252E"/>
    <w:rsid w:val="00972BAA"/>
    <w:rsid w:val="00973C40"/>
    <w:rsid w:val="00974515"/>
    <w:rsid w:val="0097457E"/>
    <w:rsid w:val="00974A51"/>
    <w:rsid w:val="00974CC4"/>
    <w:rsid w:val="00974F59"/>
    <w:rsid w:val="00975261"/>
    <w:rsid w:val="0097580B"/>
    <w:rsid w:val="00976090"/>
    <w:rsid w:val="009774A2"/>
    <w:rsid w:val="0097772F"/>
    <w:rsid w:val="0097782F"/>
    <w:rsid w:val="0098028C"/>
    <w:rsid w:val="00980620"/>
    <w:rsid w:val="00980EBB"/>
    <w:rsid w:val="0098102D"/>
    <w:rsid w:val="009824E9"/>
    <w:rsid w:val="009836EC"/>
    <w:rsid w:val="00983ABB"/>
    <w:rsid w:val="00984BCC"/>
    <w:rsid w:val="0098592E"/>
    <w:rsid w:val="00985DF6"/>
    <w:rsid w:val="00985E06"/>
    <w:rsid w:val="00986EE4"/>
    <w:rsid w:val="00986FD3"/>
    <w:rsid w:val="00990083"/>
    <w:rsid w:val="0099051A"/>
    <w:rsid w:val="00992360"/>
    <w:rsid w:val="009923BB"/>
    <w:rsid w:val="009940B4"/>
    <w:rsid w:val="00994D11"/>
    <w:rsid w:val="00995D68"/>
    <w:rsid w:val="00995FA3"/>
    <w:rsid w:val="00996398"/>
    <w:rsid w:val="0099652C"/>
    <w:rsid w:val="0099672E"/>
    <w:rsid w:val="00996DBB"/>
    <w:rsid w:val="0099715D"/>
    <w:rsid w:val="009976B6"/>
    <w:rsid w:val="009A0BAE"/>
    <w:rsid w:val="009A12EF"/>
    <w:rsid w:val="009A21BF"/>
    <w:rsid w:val="009A2322"/>
    <w:rsid w:val="009A24C5"/>
    <w:rsid w:val="009A2F63"/>
    <w:rsid w:val="009A30DA"/>
    <w:rsid w:val="009A3447"/>
    <w:rsid w:val="009A36E5"/>
    <w:rsid w:val="009A4C93"/>
    <w:rsid w:val="009A5440"/>
    <w:rsid w:val="009A59AB"/>
    <w:rsid w:val="009A6B83"/>
    <w:rsid w:val="009A6EA7"/>
    <w:rsid w:val="009A6F4E"/>
    <w:rsid w:val="009A75E9"/>
    <w:rsid w:val="009B0B66"/>
    <w:rsid w:val="009B26CF"/>
    <w:rsid w:val="009B3BF4"/>
    <w:rsid w:val="009B3E24"/>
    <w:rsid w:val="009B4456"/>
    <w:rsid w:val="009B5029"/>
    <w:rsid w:val="009B5D49"/>
    <w:rsid w:val="009B625C"/>
    <w:rsid w:val="009B6437"/>
    <w:rsid w:val="009B6562"/>
    <w:rsid w:val="009B7771"/>
    <w:rsid w:val="009C08DE"/>
    <w:rsid w:val="009C13BE"/>
    <w:rsid w:val="009C1C9B"/>
    <w:rsid w:val="009C1D52"/>
    <w:rsid w:val="009C222C"/>
    <w:rsid w:val="009C2236"/>
    <w:rsid w:val="009C3129"/>
    <w:rsid w:val="009C50FB"/>
    <w:rsid w:val="009C6C50"/>
    <w:rsid w:val="009C70D1"/>
    <w:rsid w:val="009C785F"/>
    <w:rsid w:val="009C7BB5"/>
    <w:rsid w:val="009C7D56"/>
    <w:rsid w:val="009D0ED5"/>
    <w:rsid w:val="009D172B"/>
    <w:rsid w:val="009D23E7"/>
    <w:rsid w:val="009D2C1A"/>
    <w:rsid w:val="009D38D8"/>
    <w:rsid w:val="009D3FE0"/>
    <w:rsid w:val="009D41F9"/>
    <w:rsid w:val="009D472C"/>
    <w:rsid w:val="009D625F"/>
    <w:rsid w:val="009D735A"/>
    <w:rsid w:val="009D73AC"/>
    <w:rsid w:val="009D76D3"/>
    <w:rsid w:val="009D7817"/>
    <w:rsid w:val="009E0644"/>
    <w:rsid w:val="009E3330"/>
    <w:rsid w:val="009E3B0A"/>
    <w:rsid w:val="009E46CA"/>
    <w:rsid w:val="009E4B22"/>
    <w:rsid w:val="009E4D93"/>
    <w:rsid w:val="009E51D9"/>
    <w:rsid w:val="009E5342"/>
    <w:rsid w:val="009E6241"/>
    <w:rsid w:val="009E68C5"/>
    <w:rsid w:val="009E7C51"/>
    <w:rsid w:val="009F0190"/>
    <w:rsid w:val="009F1C2A"/>
    <w:rsid w:val="009F2E59"/>
    <w:rsid w:val="009F377B"/>
    <w:rsid w:val="009F40B3"/>
    <w:rsid w:val="009F461F"/>
    <w:rsid w:val="009F599F"/>
    <w:rsid w:val="009F6627"/>
    <w:rsid w:val="009F66A8"/>
    <w:rsid w:val="009F6B7E"/>
    <w:rsid w:val="009F777B"/>
    <w:rsid w:val="009F7D27"/>
    <w:rsid w:val="00A0040D"/>
    <w:rsid w:val="00A005AA"/>
    <w:rsid w:val="00A00837"/>
    <w:rsid w:val="00A01C9F"/>
    <w:rsid w:val="00A04368"/>
    <w:rsid w:val="00A059B4"/>
    <w:rsid w:val="00A070D5"/>
    <w:rsid w:val="00A101C9"/>
    <w:rsid w:val="00A11399"/>
    <w:rsid w:val="00A11582"/>
    <w:rsid w:val="00A133FA"/>
    <w:rsid w:val="00A135A1"/>
    <w:rsid w:val="00A13654"/>
    <w:rsid w:val="00A141AE"/>
    <w:rsid w:val="00A1488F"/>
    <w:rsid w:val="00A14949"/>
    <w:rsid w:val="00A150AE"/>
    <w:rsid w:val="00A154AA"/>
    <w:rsid w:val="00A156B1"/>
    <w:rsid w:val="00A15C6E"/>
    <w:rsid w:val="00A165EC"/>
    <w:rsid w:val="00A16AA8"/>
    <w:rsid w:val="00A17909"/>
    <w:rsid w:val="00A20F63"/>
    <w:rsid w:val="00A20F6C"/>
    <w:rsid w:val="00A21026"/>
    <w:rsid w:val="00A211E5"/>
    <w:rsid w:val="00A21688"/>
    <w:rsid w:val="00A21A5C"/>
    <w:rsid w:val="00A227B4"/>
    <w:rsid w:val="00A2307D"/>
    <w:rsid w:val="00A23E02"/>
    <w:rsid w:val="00A245FF"/>
    <w:rsid w:val="00A249FB"/>
    <w:rsid w:val="00A24D78"/>
    <w:rsid w:val="00A24EC5"/>
    <w:rsid w:val="00A268FA"/>
    <w:rsid w:val="00A26D9D"/>
    <w:rsid w:val="00A27320"/>
    <w:rsid w:val="00A274B4"/>
    <w:rsid w:val="00A279D5"/>
    <w:rsid w:val="00A30041"/>
    <w:rsid w:val="00A30F77"/>
    <w:rsid w:val="00A31393"/>
    <w:rsid w:val="00A32DB9"/>
    <w:rsid w:val="00A335B9"/>
    <w:rsid w:val="00A33AA7"/>
    <w:rsid w:val="00A35959"/>
    <w:rsid w:val="00A3771E"/>
    <w:rsid w:val="00A37F11"/>
    <w:rsid w:val="00A4026B"/>
    <w:rsid w:val="00A40737"/>
    <w:rsid w:val="00A409A6"/>
    <w:rsid w:val="00A40BE3"/>
    <w:rsid w:val="00A40C48"/>
    <w:rsid w:val="00A417CF"/>
    <w:rsid w:val="00A420C4"/>
    <w:rsid w:val="00A4220C"/>
    <w:rsid w:val="00A42669"/>
    <w:rsid w:val="00A42761"/>
    <w:rsid w:val="00A42FC2"/>
    <w:rsid w:val="00A45F5A"/>
    <w:rsid w:val="00A4683C"/>
    <w:rsid w:val="00A468AA"/>
    <w:rsid w:val="00A47D50"/>
    <w:rsid w:val="00A5130D"/>
    <w:rsid w:val="00A515AA"/>
    <w:rsid w:val="00A51A16"/>
    <w:rsid w:val="00A52066"/>
    <w:rsid w:val="00A5350C"/>
    <w:rsid w:val="00A54105"/>
    <w:rsid w:val="00A54668"/>
    <w:rsid w:val="00A5601D"/>
    <w:rsid w:val="00A570C3"/>
    <w:rsid w:val="00A5750D"/>
    <w:rsid w:val="00A57CC4"/>
    <w:rsid w:val="00A618A7"/>
    <w:rsid w:val="00A63C4F"/>
    <w:rsid w:val="00A6423D"/>
    <w:rsid w:val="00A64F2C"/>
    <w:rsid w:val="00A653E4"/>
    <w:rsid w:val="00A65C89"/>
    <w:rsid w:val="00A661F7"/>
    <w:rsid w:val="00A663AE"/>
    <w:rsid w:val="00A6695B"/>
    <w:rsid w:val="00A675C1"/>
    <w:rsid w:val="00A7034B"/>
    <w:rsid w:val="00A7067B"/>
    <w:rsid w:val="00A706E9"/>
    <w:rsid w:val="00A70D72"/>
    <w:rsid w:val="00A7153E"/>
    <w:rsid w:val="00A71EC4"/>
    <w:rsid w:val="00A72601"/>
    <w:rsid w:val="00A72C10"/>
    <w:rsid w:val="00A72FB0"/>
    <w:rsid w:val="00A72FC7"/>
    <w:rsid w:val="00A73322"/>
    <w:rsid w:val="00A74313"/>
    <w:rsid w:val="00A75065"/>
    <w:rsid w:val="00A751CE"/>
    <w:rsid w:val="00A75D1E"/>
    <w:rsid w:val="00A76DDF"/>
    <w:rsid w:val="00A80901"/>
    <w:rsid w:val="00A80E6F"/>
    <w:rsid w:val="00A8186E"/>
    <w:rsid w:val="00A81FD0"/>
    <w:rsid w:val="00A823AA"/>
    <w:rsid w:val="00A83305"/>
    <w:rsid w:val="00A8353F"/>
    <w:rsid w:val="00A8363E"/>
    <w:rsid w:val="00A84115"/>
    <w:rsid w:val="00A85ACE"/>
    <w:rsid w:val="00A86613"/>
    <w:rsid w:val="00A86661"/>
    <w:rsid w:val="00A876BA"/>
    <w:rsid w:val="00A901B4"/>
    <w:rsid w:val="00A91427"/>
    <w:rsid w:val="00A91451"/>
    <w:rsid w:val="00A93E2B"/>
    <w:rsid w:val="00A94337"/>
    <w:rsid w:val="00A94545"/>
    <w:rsid w:val="00A9468E"/>
    <w:rsid w:val="00A94C72"/>
    <w:rsid w:val="00A94F82"/>
    <w:rsid w:val="00A951A4"/>
    <w:rsid w:val="00A952A0"/>
    <w:rsid w:val="00A95B81"/>
    <w:rsid w:val="00A96030"/>
    <w:rsid w:val="00A962C1"/>
    <w:rsid w:val="00A97038"/>
    <w:rsid w:val="00A97935"/>
    <w:rsid w:val="00A97D19"/>
    <w:rsid w:val="00AA042F"/>
    <w:rsid w:val="00AA06EE"/>
    <w:rsid w:val="00AA0D05"/>
    <w:rsid w:val="00AA0EF9"/>
    <w:rsid w:val="00AA14A0"/>
    <w:rsid w:val="00AA18B2"/>
    <w:rsid w:val="00AA1A9C"/>
    <w:rsid w:val="00AA1CEE"/>
    <w:rsid w:val="00AA37AC"/>
    <w:rsid w:val="00AA3CEF"/>
    <w:rsid w:val="00AA47C8"/>
    <w:rsid w:val="00AA6357"/>
    <w:rsid w:val="00AA6A73"/>
    <w:rsid w:val="00AA6F60"/>
    <w:rsid w:val="00AA7237"/>
    <w:rsid w:val="00AA7707"/>
    <w:rsid w:val="00AA79F4"/>
    <w:rsid w:val="00AA7E61"/>
    <w:rsid w:val="00AB1482"/>
    <w:rsid w:val="00AB17D4"/>
    <w:rsid w:val="00AB2146"/>
    <w:rsid w:val="00AB2B1B"/>
    <w:rsid w:val="00AB38F7"/>
    <w:rsid w:val="00AB3C9D"/>
    <w:rsid w:val="00AB3D12"/>
    <w:rsid w:val="00AB4BA6"/>
    <w:rsid w:val="00AB5A46"/>
    <w:rsid w:val="00AB7281"/>
    <w:rsid w:val="00AC00ED"/>
    <w:rsid w:val="00AC01A9"/>
    <w:rsid w:val="00AC0E81"/>
    <w:rsid w:val="00AC1DA1"/>
    <w:rsid w:val="00AC1E91"/>
    <w:rsid w:val="00AC1F84"/>
    <w:rsid w:val="00AC258E"/>
    <w:rsid w:val="00AC3C5F"/>
    <w:rsid w:val="00AC40AF"/>
    <w:rsid w:val="00AC48DB"/>
    <w:rsid w:val="00AC4C59"/>
    <w:rsid w:val="00AC5109"/>
    <w:rsid w:val="00AC5AA3"/>
    <w:rsid w:val="00AC64CF"/>
    <w:rsid w:val="00AC6BDC"/>
    <w:rsid w:val="00AC7275"/>
    <w:rsid w:val="00AC73F6"/>
    <w:rsid w:val="00AC76D7"/>
    <w:rsid w:val="00AC7AB0"/>
    <w:rsid w:val="00AC7EB9"/>
    <w:rsid w:val="00AD125B"/>
    <w:rsid w:val="00AD1A53"/>
    <w:rsid w:val="00AD1FB3"/>
    <w:rsid w:val="00AD23FE"/>
    <w:rsid w:val="00AD2858"/>
    <w:rsid w:val="00AD4814"/>
    <w:rsid w:val="00AD5B7E"/>
    <w:rsid w:val="00AD5C86"/>
    <w:rsid w:val="00AD65F9"/>
    <w:rsid w:val="00AD79D3"/>
    <w:rsid w:val="00AE1137"/>
    <w:rsid w:val="00AE203C"/>
    <w:rsid w:val="00AE2788"/>
    <w:rsid w:val="00AE2F9F"/>
    <w:rsid w:val="00AE30D1"/>
    <w:rsid w:val="00AE3A5B"/>
    <w:rsid w:val="00AE3B45"/>
    <w:rsid w:val="00AE3E2E"/>
    <w:rsid w:val="00AE44EC"/>
    <w:rsid w:val="00AE566C"/>
    <w:rsid w:val="00AE640C"/>
    <w:rsid w:val="00AE6B7E"/>
    <w:rsid w:val="00AE6E61"/>
    <w:rsid w:val="00AE6F94"/>
    <w:rsid w:val="00AE7322"/>
    <w:rsid w:val="00AE79E1"/>
    <w:rsid w:val="00AF03F1"/>
    <w:rsid w:val="00AF0444"/>
    <w:rsid w:val="00AF0AE3"/>
    <w:rsid w:val="00AF0D2E"/>
    <w:rsid w:val="00AF141B"/>
    <w:rsid w:val="00AF1D8D"/>
    <w:rsid w:val="00AF236E"/>
    <w:rsid w:val="00AF23C4"/>
    <w:rsid w:val="00AF23FE"/>
    <w:rsid w:val="00AF335D"/>
    <w:rsid w:val="00AF3F67"/>
    <w:rsid w:val="00AF4909"/>
    <w:rsid w:val="00AF490A"/>
    <w:rsid w:val="00AF4B5D"/>
    <w:rsid w:val="00AF4BB4"/>
    <w:rsid w:val="00AF5591"/>
    <w:rsid w:val="00AF7C3E"/>
    <w:rsid w:val="00AF7EFE"/>
    <w:rsid w:val="00B001F5"/>
    <w:rsid w:val="00B004BA"/>
    <w:rsid w:val="00B00DA0"/>
    <w:rsid w:val="00B0140E"/>
    <w:rsid w:val="00B018CA"/>
    <w:rsid w:val="00B01B02"/>
    <w:rsid w:val="00B02426"/>
    <w:rsid w:val="00B0315B"/>
    <w:rsid w:val="00B03CBA"/>
    <w:rsid w:val="00B03F04"/>
    <w:rsid w:val="00B0483A"/>
    <w:rsid w:val="00B05D11"/>
    <w:rsid w:val="00B06256"/>
    <w:rsid w:val="00B0712D"/>
    <w:rsid w:val="00B0767C"/>
    <w:rsid w:val="00B10449"/>
    <w:rsid w:val="00B10E80"/>
    <w:rsid w:val="00B11215"/>
    <w:rsid w:val="00B11328"/>
    <w:rsid w:val="00B11AFB"/>
    <w:rsid w:val="00B12206"/>
    <w:rsid w:val="00B124BB"/>
    <w:rsid w:val="00B12B9E"/>
    <w:rsid w:val="00B12DB0"/>
    <w:rsid w:val="00B1304E"/>
    <w:rsid w:val="00B13605"/>
    <w:rsid w:val="00B1391A"/>
    <w:rsid w:val="00B1410A"/>
    <w:rsid w:val="00B141DB"/>
    <w:rsid w:val="00B1493F"/>
    <w:rsid w:val="00B14CA3"/>
    <w:rsid w:val="00B1554A"/>
    <w:rsid w:val="00B15B1E"/>
    <w:rsid w:val="00B15B20"/>
    <w:rsid w:val="00B15DB4"/>
    <w:rsid w:val="00B166C8"/>
    <w:rsid w:val="00B21119"/>
    <w:rsid w:val="00B2175E"/>
    <w:rsid w:val="00B2278C"/>
    <w:rsid w:val="00B22C34"/>
    <w:rsid w:val="00B238E3"/>
    <w:rsid w:val="00B23AC8"/>
    <w:rsid w:val="00B24009"/>
    <w:rsid w:val="00B241C7"/>
    <w:rsid w:val="00B244A3"/>
    <w:rsid w:val="00B249A5"/>
    <w:rsid w:val="00B24E22"/>
    <w:rsid w:val="00B25811"/>
    <w:rsid w:val="00B25A84"/>
    <w:rsid w:val="00B25BCB"/>
    <w:rsid w:val="00B25D7C"/>
    <w:rsid w:val="00B26086"/>
    <w:rsid w:val="00B27E5D"/>
    <w:rsid w:val="00B30BC6"/>
    <w:rsid w:val="00B3103F"/>
    <w:rsid w:val="00B311DB"/>
    <w:rsid w:val="00B31EE8"/>
    <w:rsid w:val="00B32143"/>
    <w:rsid w:val="00B334FB"/>
    <w:rsid w:val="00B339BF"/>
    <w:rsid w:val="00B35135"/>
    <w:rsid w:val="00B35B3B"/>
    <w:rsid w:val="00B36B90"/>
    <w:rsid w:val="00B37799"/>
    <w:rsid w:val="00B37A08"/>
    <w:rsid w:val="00B405BB"/>
    <w:rsid w:val="00B40DA1"/>
    <w:rsid w:val="00B41095"/>
    <w:rsid w:val="00B41757"/>
    <w:rsid w:val="00B41A61"/>
    <w:rsid w:val="00B41CE3"/>
    <w:rsid w:val="00B429C6"/>
    <w:rsid w:val="00B42AAA"/>
    <w:rsid w:val="00B42C4A"/>
    <w:rsid w:val="00B43F19"/>
    <w:rsid w:val="00B44071"/>
    <w:rsid w:val="00B440FE"/>
    <w:rsid w:val="00B4496B"/>
    <w:rsid w:val="00B46E6D"/>
    <w:rsid w:val="00B46F8B"/>
    <w:rsid w:val="00B46FCB"/>
    <w:rsid w:val="00B50392"/>
    <w:rsid w:val="00B50B12"/>
    <w:rsid w:val="00B510D5"/>
    <w:rsid w:val="00B51648"/>
    <w:rsid w:val="00B516AC"/>
    <w:rsid w:val="00B51F93"/>
    <w:rsid w:val="00B52532"/>
    <w:rsid w:val="00B53578"/>
    <w:rsid w:val="00B53B6E"/>
    <w:rsid w:val="00B53CEC"/>
    <w:rsid w:val="00B5434A"/>
    <w:rsid w:val="00B54419"/>
    <w:rsid w:val="00B54AC7"/>
    <w:rsid w:val="00B54CB4"/>
    <w:rsid w:val="00B54D96"/>
    <w:rsid w:val="00B54F8E"/>
    <w:rsid w:val="00B5520F"/>
    <w:rsid w:val="00B5538E"/>
    <w:rsid w:val="00B55C9C"/>
    <w:rsid w:val="00B56A59"/>
    <w:rsid w:val="00B56F1B"/>
    <w:rsid w:val="00B576CE"/>
    <w:rsid w:val="00B5771E"/>
    <w:rsid w:val="00B5790E"/>
    <w:rsid w:val="00B57E50"/>
    <w:rsid w:val="00B602A4"/>
    <w:rsid w:val="00B60356"/>
    <w:rsid w:val="00B60F7C"/>
    <w:rsid w:val="00B61090"/>
    <w:rsid w:val="00B61AFB"/>
    <w:rsid w:val="00B6211B"/>
    <w:rsid w:val="00B623CE"/>
    <w:rsid w:val="00B624A8"/>
    <w:rsid w:val="00B62CF5"/>
    <w:rsid w:val="00B6348F"/>
    <w:rsid w:val="00B641CE"/>
    <w:rsid w:val="00B6452B"/>
    <w:rsid w:val="00B64C4E"/>
    <w:rsid w:val="00B6507C"/>
    <w:rsid w:val="00B6530F"/>
    <w:rsid w:val="00B65B69"/>
    <w:rsid w:val="00B66999"/>
    <w:rsid w:val="00B6710C"/>
    <w:rsid w:val="00B675F5"/>
    <w:rsid w:val="00B67C27"/>
    <w:rsid w:val="00B7031B"/>
    <w:rsid w:val="00B7058F"/>
    <w:rsid w:val="00B70A62"/>
    <w:rsid w:val="00B71452"/>
    <w:rsid w:val="00B7198F"/>
    <w:rsid w:val="00B73539"/>
    <w:rsid w:val="00B73CA7"/>
    <w:rsid w:val="00B74344"/>
    <w:rsid w:val="00B74A06"/>
    <w:rsid w:val="00B74B83"/>
    <w:rsid w:val="00B75459"/>
    <w:rsid w:val="00B75A16"/>
    <w:rsid w:val="00B75B2B"/>
    <w:rsid w:val="00B760A9"/>
    <w:rsid w:val="00B761CA"/>
    <w:rsid w:val="00B7635D"/>
    <w:rsid w:val="00B77025"/>
    <w:rsid w:val="00B77505"/>
    <w:rsid w:val="00B77DDF"/>
    <w:rsid w:val="00B804D2"/>
    <w:rsid w:val="00B81103"/>
    <w:rsid w:val="00B81406"/>
    <w:rsid w:val="00B816BA"/>
    <w:rsid w:val="00B81C5B"/>
    <w:rsid w:val="00B8203B"/>
    <w:rsid w:val="00B83676"/>
    <w:rsid w:val="00B84046"/>
    <w:rsid w:val="00B8504D"/>
    <w:rsid w:val="00B8578E"/>
    <w:rsid w:val="00B859E0"/>
    <w:rsid w:val="00B85E22"/>
    <w:rsid w:val="00B86341"/>
    <w:rsid w:val="00B870D6"/>
    <w:rsid w:val="00B871E2"/>
    <w:rsid w:val="00B901AE"/>
    <w:rsid w:val="00B90243"/>
    <w:rsid w:val="00B912A0"/>
    <w:rsid w:val="00B932EE"/>
    <w:rsid w:val="00B9337D"/>
    <w:rsid w:val="00B93817"/>
    <w:rsid w:val="00B9383E"/>
    <w:rsid w:val="00B93CDF"/>
    <w:rsid w:val="00B9405E"/>
    <w:rsid w:val="00B949ED"/>
    <w:rsid w:val="00B94ABB"/>
    <w:rsid w:val="00B94D14"/>
    <w:rsid w:val="00B95763"/>
    <w:rsid w:val="00B959C2"/>
    <w:rsid w:val="00B95F38"/>
    <w:rsid w:val="00B96756"/>
    <w:rsid w:val="00B967B6"/>
    <w:rsid w:val="00B976CF"/>
    <w:rsid w:val="00B97BE6"/>
    <w:rsid w:val="00B97D08"/>
    <w:rsid w:val="00BA0588"/>
    <w:rsid w:val="00BA0872"/>
    <w:rsid w:val="00BA14D3"/>
    <w:rsid w:val="00BA1938"/>
    <w:rsid w:val="00BA3943"/>
    <w:rsid w:val="00BA43F9"/>
    <w:rsid w:val="00BA56F7"/>
    <w:rsid w:val="00BA5A63"/>
    <w:rsid w:val="00BA5A8E"/>
    <w:rsid w:val="00BA61C1"/>
    <w:rsid w:val="00BA6380"/>
    <w:rsid w:val="00BA6D4D"/>
    <w:rsid w:val="00BA6F0B"/>
    <w:rsid w:val="00BA6F44"/>
    <w:rsid w:val="00BA71A3"/>
    <w:rsid w:val="00BA7664"/>
    <w:rsid w:val="00BB008B"/>
    <w:rsid w:val="00BB0444"/>
    <w:rsid w:val="00BB06F2"/>
    <w:rsid w:val="00BB1399"/>
    <w:rsid w:val="00BB2898"/>
    <w:rsid w:val="00BB2B8A"/>
    <w:rsid w:val="00BB3290"/>
    <w:rsid w:val="00BB3545"/>
    <w:rsid w:val="00BB3CD1"/>
    <w:rsid w:val="00BB4F6E"/>
    <w:rsid w:val="00BB5023"/>
    <w:rsid w:val="00BB6480"/>
    <w:rsid w:val="00BB65BA"/>
    <w:rsid w:val="00BB6A70"/>
    <w:rsid w:val="00BB72C4"/>
    <w:rsid w:val="00BB754C"/>
    <w:rsid w:val="00BB7789"/>
    <w:rsid w:val="00BB7A24"/>
    <w:rsid w:val="00BB7CA7"/>
    <w:rsid w:val="00BC0C5D"/>
    <w:rsid w:val="00BC101D"/>
    <w:rsid w:val="00BC1B4A"/>
    <w:rsid w:val="00BC1CD0"/>
    <w:rsid w:val="00BC24E3"/>
    <w:rsid w:val="00BC39CC"/>
    <w:rsid w:val="00BC4915"/>
    <w:rsid w:val="00BC52EF"/>
    <w:rsid w:val="00BC59C2"/>
    <w:rsid w:val="00BC5A28"/>
    <w:rsid w:val="00BC5C61"/>
    <w:rsid w:val="00BC72F2"/>
    <w:rsid w:val="00BC732B"/>
    <w:rsid w:val="00BC73AD"/>
    <w:rsid w:val="00BD01D2"/>
    <w:rsid w:val="00BD0513"/>
    <w:rsid w:val="00BD1814"/>
    <w:rsid w:val="00BD2478"/>
    <w:rsid w:val="00BD2688"/>
    <w:rsid w:val="00BD272A"/>
    <w:rsid w:val="00BD33D7"/>
    <w:rsid w:val="00BD488E"/>
    <w:rsid w:val="00BD53F1"/>
    <w:rsid w:val="00BD5ADB"/>
    <w:rsid w:val="00BD5C21"/>
    <w:rsid w:val="00BD67F4"/>
    <w:rsid w:val="00BD7DDD"/>
    <w:rsid w:val="00BE0453"/>
    <w:rsid w:val="00BE09EB"/>
    <w:rsid w:val="00BE1557"/>
    <w:rsid w:val="00BE1871"/>
    <w:rsid w:val="00BE1A6C"/>
    <w:rsid w:val="00BE27E6"/>
    <w:rsid w:val="00BE318E"/>
    <w:rsid w:val="00BE39BA"/>
    <w:rsid w:val="00BE3FB6"/>
    <w:rsid w:val="00BE4F54"/>
    <w:rsid w:val="00BE529C"/>
    <w:rsid w:val="00BE55E6"/>
    <w:rsid w:val="00BE7D0D"/>
    <w:rsid w:val="00BF0543"/>
    <w:rsid w:val="00BF0D4C"/>
    <w:rsid w:val="00BF0F62"/>
    <w:rsid w:val="00BF1351"/>
    <w:rsid w:val="00BF13BD"/>
    <w:rsid w:val="00BF14B1"/>
    <w:rsid w:val="00BF18E7"/>
    <w:rsid w:val="00BF1B52"/>
    <w:rsid w:val="00BF1D3D"/>
    <w:rsid w:val="00BF2AD2"/>
    <w:rsid w:val="00BF2C1D"/>
    <w:rsid w:val="00BF32B6"/>
    <w:rsid w:val="00BF3F5E"/>
    <w:rsid w:val="00BF401B"/>
    <w:rsid w:val="00BF4183"/>
    <w:rsid w:val="00BF4388"/>
    <w:rsid w:val="00BF449E"/>
    <w:rsid w:val="00BF48E4"/>
    <w:rsid w:val="00BF4AE9"/>
    <w:rsid w:val="00BF4E78"/>
    <w:rsid w:val="00BF51C6"/>
    <w:rsid w:val="00BF53BD"/>
    <w:rsid w:val="00BF5662"/>
    <w:rsid w:val="00BF59C9"/>
    <w:rsid w:val="00BF65A4"/>
    <w:rsid w:val="00BF662E"/>
    <w:rsid w:val="00BF6D7F"/>
    <w:rsid w:val="00BF72D4"/>
    <w:rsid w:val="00BF72EA"/>
    <w:rsid w:val="00C0026D"/>
    <w:rsid w:val="00C00513"/>
    <w:rsid w:val="00C008E3"/>
    <w:rsid w:val="00C01384"/>
    <w:rsid w:val="00C017F3"/>
    <w:rsid w:val="00C01C6D"/>
    <w:rsid w:val="00C02BF7"/>
    <w:rsid w:val="00C02E72"/>
    <w:rsid w:val="00C034EB"/>
    <w:rsid w:val="00C03677"/>
    <w:rsid w:val="00C037C9"/>
    <w:rsid w:val="00C03A2A"/>
    <w:rsid w:val="00C04819"/>
    <w:rsid w:val="00C05827"/>
    <w:rsid w:val="00C05ACF"/>
    <w:rsid w:val="00C05DFD"/>
    <w:rsid w:val="00C05F4F"/>
    <w:rsid w:val="00C066A2"/>
    <w:rsid w:val="00C06953"/>
    <w:rsid w:val="00C1049A"/>
    <w:rsid w:val="00C104F5"/>
    <w:rsid w:val="00C11266"/>
    <w:rsid w:val="00C11654"/>
    <w:rsid w:val="00C1173A"/>
    <w:rsid w:val="00C11E7C"/>
    <w:rsid w:val="00C140C9"/>
    <w:rsid w:val="00C140DC"/>
    <w:rsid w:val="00C14714"/>
    <w:rsid w:val="00C1550F"/>
    <w:rsid w:val="00C155F8"/>
    <w:rsid w:val="00C163A9"/>
    <w:rsid w:val="00C17171"/>
    <w:rsid w:val="00C1761C"/>
    <w:rsid w:val="00C17822"/>
    <w:rsid w:val="00C17F9D"/>
    <w:rsid w:val="00C20BBA"/>
    <w:rsid w:val="00C2118E"/>
    <w:rsid w:val="00C2133E"/>
    <w:rsid w:val="00C21428"/>
    <w:rsid w:val="00C21759"/>
    <w:rsid w:val="00C21CA7"/>
    <w:rsid w:val="00C22158"/>
    <w:rsid w:val="00C22249"/>
    <w:rsid w:val="00C22569"/>
    <w:rsid w:val="00C22A75"/>
    <w:rsid w:val="00C22B63"/>
    <w:rsid w:val="00C22C57"/>
    <w:rsid w:val="00C2323D"/>
    <w:rsid w:val="00C23D12"/>
    <w:rsid w:val="00C253F6"/>
    <w:rsid w:val="00C2589C"/>
    <w:rsid w:val="00C260BC"/>
    <w:rsid w:val="00C265B5"/>
    <w:rsid w:val="00C26E47"/>
    <w:rsid w:val="00C2785F"/>
    <w:rsid w:val="00C28ADB"/>
    <w:rsid w:val="00C3059D"/>
    <w:rsid w:val="00C306FD"/>
    <w:rsid w:val="00C30A1B"/>
    <w:rsid w:val="00C30F03"/>
    <w:rsid w:val="00C323E7"/>
    <w:rsid w:val="00C32F8F"/>
    <w:rsid w:val="00C331F8"/>
    <w:rsid w:val="00C33592"/>
    <w:rsid w:val="00C336EC"/>
    <w:rsid w:val="00C33A1F"/>
    <w:rsid w:val="00C34218"/>
    <w:rsid w:val="00C346B7"/>
    <w:rsid w:val="00C3527B"/>
    <w:rsid w:val="00C36072"/>
    <w:rsid w:val="00C3668A"/>
    <w:rsid w:val="00C369A8"/>
    <w:rsid w:val="00C371FC"/>
    <w:rsid w:val="00C37926"/>
    <w:rsid w:val="00C40021"/>
    <w:rsid w:val="00C4017A"/>
    <w:rsid w:val="00C40931"/>
    <w:rsid w:val="00C40997"/>
    <w:rsid w:val="00C41BF8"/>
    <w:rsid w:val="00C4375B"/>
    <w:rsid w:val="00C43E06"/>
    <w:rsid w:val="00C43F93"/>
    <w:rsid w:val="00C44F56"/>
    <w:rsid w:val="00C466D2"/>
    <w:rsid w:val="00C46EE4"/>
    <w:rsid w:val="00C47354"/>
    <w:rsid w:val="00C479D4"/>
    <w:rsid w:val="00C47A92"/>
    <w:rsid w:val="00C47B96"/>
    <w:rsid w:val="00C47BF1"/>
    <w:rsid w:val="00C5020C"/>
    <w:rsid w:val="00C5043D"/>
    <w:rsid w:val="00C50485"/>
    <w:rsid w:val="00C50F29"/>
    <w:rsid w:val="00C514BA"/>
    <w:rsid w:val="00C5174D"/>
    <w:rsid w:val="00C523C3"/>
    <w:rsid w:val="00C53012"/>
    <w:rsid w:val="00C531DF"/>
    <w:rsid w:val="00C53905"/>
    <w:rsid w:val="00C53A12"/>
    <w:rsid w:val="00C53B40"/>
    <w:rsid w:val="00C53C77"/>
    <w:rsid w:val="00C53EF9"/>
    <w:rsid w:val="00C53FAA"/>
    <w:rsid w:val="00C54FD3"/>
    <w:rsid w:val="00C5520D"/>
    <w:rsid w:val="00C55668"/>
    <w:rsid w:val="00C560BD"/>
    <w:rsid w:val="00C56521"/>
    <w:rsid w:val="00C56EBC"/>
    <w:rsid w:val="00C61262"/>
    <w:rsid w:val="00C6177A"/>
    <w:rsid w:val="00C61DA0"/>
    <w:rsid w:val="00C61FBD"/>
    <w:rsid w:val="00C62651"/>
    <w:rsid w:val="00C62936"/>
    <w:rsid w:val="00C6304C"/>
    <w:rsid w:val="00C637FE"/>
    <w:rsid w:val="00C640A7"/>
    <w:rsid w:val="00C6484E"/>
    <w:rsid w:val="00C64B6C"/>
    <w:rsid w:val="00C65499"/>
    <w:rsid w:val="00C65FA4"/>
    <w:rsid w:val="00C66147"/>
    <w:rsid w:val="00C66993"/>
    <w:rsid w:val="00C66ACE"/>
    <w:rsid w:val="00C679DF"/>
    <w:rsid w:val="00C67AA1"/>
    <w:rsid w:val="00C67C37"/>
    <w:rsid w:val="00C67ECE"/>
    <w:rsid w:val="00C7098F"/>
    <w:rsid w:val="00C712C6"/>
    <w:rsid w:val="00C719C9"/>
    <w:rsid w:val="00C71F17"/>
    <w:rsid w:val="00C72527"/>
    <w:rsid w:val="00C7273A"/>
    <w:rsid w:val="00C7274D"/>
    <w:rsid w:val="00C72F5A"/>
    <w:rsid w:val="00C73044"/>
    <w:rsid w:val="00C73352"/>
    <w:rsid w:val="00C755E4"/>
    <w:rsid w:val="00C75A48"/>
    <w:rsid w:val="00C75E51"/>
    <w:rsid w:val="00C76EC9"/>
    <w:rsid w:val="00C807A6"/>
    <w:rsid w:val="00C80F91"/>
    <w:rsid w:val="00C81FC0"/>
    <w:rsid w:val="00C82E5D"/>
    <w:rsid w:val="00C830B9"/>
    <w:rsid w:val="00C83A9B"/>
    <w:rsid w:val="00C8493F"/>
    <w:rsid w:val="00C849E7"/>
    <w:rsid w:val="00C84A84"/>
    <w:rsid w:val="00C852B6"/>
    <w:rsid w:val="00C85888"/>
    <w:rsid w:val="00C85FB5"/>
    <w:rsid w:val="00C8616E"/>
    <w:rsid w:val="00C875BE"/>
    <w:rsid w:val="00C8783D"/>
    <w:rsid w:val="00C903A4"/>
    <w:rsid w:val="00C907FB"/>
    <w:rsid w:val="00C9095B"/>
    <w:rsid w:val="00C91238"/>
    <w:rsid w:val="00C91766"/>
    <w:rsid w:val="00C9184D"/>
    <w:rsid w:val="00C91C18"/>
    <w:rsid w:val="00C91D8D"/>
    <w:rsid w:val="00C925F8"/>
    <w:rsid w:val="00C926F6"/>
    <w:rsid w:val="00C93242"/>
    <w:rsid w:val="00C97856"/>
    <w:rsid w:val="00C979D0"/>
    <w:rsid w:val="00CA0825"/>
    <w:rsid w:val="00CA0ABD"/>
    <w:rsid w:val="00CA13FE"/>
    <w:rsid w:val="00CA170E"/>
    <w:rsid w:val="00CA19AC"/>
    <w:rsid w:val="00CA1F16"/>
    <w:rsid w:val="00CA261B"/>
    <w:rsid w:val="00CA28A8"/>
    <w:rsid w:val="00CA31C9"/>
    <w:rsid w:val="00CA476A"/>
    <w:rsid w:val="00CA4C42"/>
    <w:rsid w:val="00CA6AB2"/>
    <w:rsid w:val="00CA6B71"/>
    <w:rsid w:val="00CA7124"/>
    <w:rsid w:val="00CA71A4"/>
    <w:rsid w:val="00CA73A6"/>
    <w:rsid w:val="00CA73FA"/>
    <w:rsid w:val="00CA7A90"/>
    <w:rsid w:val="00CA7B77"/>
    <w:rsid w:val="00CB08C7"/>
    <w:rsid w:val="00CB099B"/>
    <w:rsid w:val="00CB21F5"/>
    <w:rsid w:val="00CB37D8"/>
    <w:rsid w:val="00CB5807"/>
    <w:rsid w:val="00CB59DE"/>
    <w:rsid w:val="00CB5A45"/>
    <w:rsid w:val="00CB6B20"/>
    <w:rsid w:val="00CB6F2D"/>
    <w:rsid w:val="00CB780D"/>
    <w:rsid w:val="00CB7C2D"/>
    <w:rsid w:val="00CBF69E"/>
    <w:rsid w:val="00CC03FF"/>
    <w:rsid w:val="00CC097E"/>
    <w:rsid w:val="00CC1161"/>
    <w:rsid w:val="00CC140D"/>
    <w:rsid w:val="00CC1774"/>
    <w:rsid w:val="00CC20E3"/>
    <w:rsid w:val="00CC2473"/>
    <w:rsid w:val="00CC389E"/>
    <w:rsid w:val="00CC4119"/>
    <w:rsid w:val="00CC41E7"/>
    <w:rsid w:val="00CC501B"/>
    <w:rsid w:val="00CC5759"/>
    <w:rsid w:val="00CC5A4A"/>
    <w:rsid w:val="00CC5D96"/>
    <w:rsid w:val="00CC7853"/>
    <w:rsid w:val="00CC7A24"/>
    <w:rsid w:val="00CC7B34"/>
    <w:rsid w:val="00CD0DE4"/>
    <w:rsid w:val="00CD1D2B"/>
    <w:rsid w:val="00CD2141"/>
    <w:rsid w:val="00CD28FA"/>
    <w:rsid w:val="00CD2CDF"/>
    <w:rsid w:val="00CD2E70"/>
    <w:rsid w:val="00CD31AD"/>
    <w:rsid w:val="00CD36AD"/>
    <w:rsid w:val="00CD3AC7"/>
    <w:rsid w:val="00CD4228"/>
    <w:rsid w:val="00CD542D"/>
    <w:rsid w:val="00CD6A88"/>
    <w:rsid w:val="00CD6D5F"/>
    <w:rsid w:val="00CD76B6"/>
    <w:rsid w:val="00CE025F"/>
    <w:rsid w:val="00CE03E9"/>
    <w:rsid w:val="00CE1B42"/>
    <w:rsid w:val="00CE22AC"/>
    <w:rsid w:val="00CE2D5C"/>
    <w:rsid w:val="00CE3CA6"/>
    <w:rsid w:val="00CE408A"/>
    <w:rsid w:val="00CE5A35"/>
    <w:rsid w:val="00CE623E"/>
    <w:rsid w:val="00CE62FB"/>
    <w:rsid w:val="00CE71AA"/>
    <w:rsid w:val="00CE71CC"/>
    <w:rsid w:val="00CE77DA"/>
    <w:rsid w:val="00CE7B1C"/>
    <w:rsid w:val="00CE7E7D"/>
    <w:rsid w:val="00CF0284"/>
    <w:rsid w:val="00CF124B"/>
    <w:rsid w:val="00CF1292"/>
    <w:rsid w:val="00CF1696"/>
    <w:rsid w:val="00CF1927"/>
    <w:rsid w:val="00CF1A9F"/>
    <w:rsid w:val="00CF2291"/>
    <w:rsid w:val="00CF242B"/>
    <w:rsid w:val="00CF2A53"/>
    <w:rsid w:val="00CF2C15"/>
    <w:rsid w:val="00CF30D4"/>
    <w:rsid w:val="00CF4405"/>
    <w:rsid w:val="00CF490A"/>
    <w:rsid w:val="00CF4922"/>
    <w:rsid w:val="00CF508E"/>
    <w:rsid w:val="00CF7DCA"/>
    <w:rsid w:val="00CF7FA2"/>
    <w:rsid w:val="00D00701"/>
    <w:rsid w:val="00D00D17"/>
    <w:rsid w:val="00D016EA"/>
    <w:rsid w:val="00D019C4"/>
    <w:rsid w:val="00D01B1B"/>
    <w:rsid w:val="00D01E01"/>
    <w:rsid w:val="00D025F2"/>
    <w:rsid w:val="00D02D1C"/>
    <w:rsid w:val="00D02DD3"/>
    <w:rsid w:val="00D059AF"/>
    <w:rsid w:val="00D05CB6"/>
    <w:rsid w:val="00D05F63"/>
    <w:rsid w:val="00D06CEB"/>
    <w:rsid w:val="00D07027"/>
    <w:rsid w:val="00D07594"/>
    <w:rsid w:val="00D102AC"/>
    <w:rsid w:val="00D112A9"/>
    <w:rsid w:val="00D112F2"/>
    <w:rsid w:val="00D11443"/>
    <w:rsid w:val="00D12568"/>
    <w:rsid w:val="00D12617"/>
    <w:rsid w:val="00D12829"/>
    <w:rsid w:val="00D12DEE"/>
    <w:rsid w:val="00D14937"/>
    <w:rsid w:val="00D14D2F"/>
    <w:rsid w:val="00D14D80"/>
    <w:rsid w:val="00D14DBF"/>
    <w:rsid w:val="00D15288"/>
    <w:rsid w:val="00D15813"/>
    <w:rsid w:val="00D15DE6"/>
    <w:rsid w:val="00D16A6A"/>
    <w:rsid w:val="00D16B4D"/>
    <w:rsid w:val="00D20F1F"/>
    <w:rsid w:val="00D213F2"/>
    <w:rsid w:val="00D218E4"/>
    <w:rsid w:val="00D21CCD"/>
    <w:rsid w:val="00D21D3D"/>
    <w:rsid w:val="00D21E03"/>
    <w:rsid w:val="00D2229F"/>
    <w:rsid w:val="00D22D10"/>
    <w:rsid w:val="00D234EE"/>
    <w:rsid w:val="00D2427D"/>
    <w:rsid w:val="00D251F8"/>
    <w:rsid w:val="00D27092"/>
    <w:rsid w:val="00D27BD1"/>
    <w:rsid w:val="00D299FE"/>
    <w:rsid w:val="00D3059B"/>
    <w:rsid w:val="00D30DDF"/>
    <w:rsid w:val="00D30E4E"/>
    <w:rsid w:val="00D31049"/>
    <w:rsid w:val="00D322A6"/>
    <w:rsid w:val="00D3396D"/>
    <w:rsid w:val="00D3442F"/>
    <w:rsid w:val="00D35C95"/>
    <w:rsid w:val="00D36C63"/>
    <w:rsid w:val="00D3764C"/>
    <w:rsid w:val="00D406A6"/>
    <w:rsid w:val="00D40A11"/>
    <w:rsid w:val="00D41AB3"/>
    <w:rsid w:val="00D42176"/>
    <w:rsid w:val="00D42DD2"/>
    <w:rsid w:val="00D44871"/>
    <w:rsid w:val="00D45BAA"/>
    <w:rsid w:val="00D45F4D"/>
    <w:rsid w:val="00D466EE"/>
    <w:rsid w:val="00D4895E"/>
    <w:rsid w:val="00D50003"/>
    <w:rsid w:val="00D5009E"/>
    <w:rsid w:val="00D508E8"/>
    <w:rsid w:val="00D50C92"/>
    <w:rsid w:val="00D51A97"/>
    <w:rsid w:val="00D5243F"/>
    <w:rsid w:val="00D52E7D"/>
    <w:rsid w:val="00D5386E"/>
    <w:rsid w:val="00D53A05"/>
    <w:rsid w:val="00D542B3"/>
    <w:rsid w:val="00D55060"/>
    <w:rsid w:val="00D5516F"/>
    <w:rsid w:val="00D55F1E"/>
    <w:rsid w:val="00D56059"/>
    <w:rsid w:val="00D5609C"/>
    <w:rsid w:val="00D57C41"/>
    <w:rsid w:val="00D57F09"/>
    <w:rsid w:val="00D60FA8"/>
    <w:rsid w:val="00D6186D"/>
    <w:rsid w:val="00D6218F"/>
    <w:rsid w:val="00D62D9A"/>
    <w:rsid w:val="00D63F9B"/>
    <w:rsid w:val="00D6403A"/>
    <w:rsid w:val="00D6507B"/>
    <w:rsid w:val="00D65A41"/>
    <w:rsid w:val="00D66198"/>
    <w:rsid w:val="00D66723"/>
    <w:rsid w:val="00D66BB0"/>
    <w:rsid w:val="00D674F4"/>
    <w:rsid w:val="00D701B8"/>
    <w:rsid w:val="00D70359"/>
    <w:rsid w:val="00D705DF"/>
    <w:rsid w:val="00D708D4"/>
    <w:rsid w:val="00D71BCF"/>
    <w:rsid w:val="00D721B1"/>
    <w:rsid w:val="00D7234B"/>
    <w:rsid w:val="00D7288A"/>
    <w:rsid w:val="00D728DA"/>
    <w:rsid w:val="00D72D16"/>
    <w:rsid w:val="00D731AE"/>
    <w:rsid w:val="00D7331D"/>
    <w:rsid w:val="00D736F4"/>
    <w:rsid w:val="00D737AA"/>
    <w:rsid w:val="00D738A8"/>
    <w:rsid w:val="00D74BC9"/>
    <w:rsid w:val="00D750C5"/>
    <w:rsid w:val="00D750C6"/>
    <w:rsid w:val="00D752E3"/>
    <w:rsid w:val="00D75D45"/>
    <w:rsid w:val="00D76818"/>
    <w:rsid w:val="00D7699F"/>
    <w:rsid w:val="00D76E7F"/>
    <w:rsid w:val="00D77742"/>
    <w:rsid w:val="00D77875"/>
    <w:rsid w:val="00D81A83"/>
    <w:rsid w:val="00D81BDE"/>
    <w:rsid w:val="00D83935"/>
    <w:rsid w:val="00D84D50"/>
    <w:rsid w:val="00D84E04"/>
    <w:rsid w:val="00D85F05"/>
    <w:rsid w:val="00D868F1"/>
    <w:rsid w:val="00D87BA0"/>
    <w:rsid w:val="00D91328"/>
    <w:rsid w:val="00D922EB"/>
    <w:rsid w:val="00D92777"/>
    <w:rsid w:val="00D92975"/>
    <w:rsid w:val="00D92E7D"/>
    <w:rsid w:val="00D9306B"/>
    <w:rsid w:val="00D930C8"/>
    <w:rsid w:val="00D932AF"/>
    <w:rsid w:val="00D93623"/>
    <w:rsid w:val="00D94585"/>
    <w:rsid w:val="00D94AFC"/>
    <w:rsid w:val="00D95AB4"/>
    <w:rsid w:val="00D95F2C"/>
    <w:rsid w:val="00D96164"/>
    <w:rsid w:val="00D96856"/>
    <w:rsid w:val="00D9695B"/>
    <w:rsid w:val="00DA0073"/>
    <w:rsid w:val="00DA128B"/>
    <w:rsid w:val="00DA14A2"/>
    <w:rsid w:val="00DA2E0B"/>
    <w:rsid w:val="00DA361D"/>
    <w:rsid w:val="00DA3F3D"/>
    <w:rsid w:val="00DA3FAD"/>
    <w:rsid w:val="00DA4226"/>
    <w:rsid w:val="00DA42EE"/>
    <w:rsid w:val="00DA445D"/>
    <w:rsid w:val="00DA4E8C"/>
    <w:rsid w:val="00DA4F17"/>
    <w:rsid w:val="00DA5355"/>
    <w:rsid w:val="00DA6207"/>
    <w:rsid w:val="00DA6341"/>
    <w:rsid w:val="00DA65DF"/>
    <w:rsid w:val="00DA69E8"/>
    <w:rsid w:val="00DA7F54"/>
    <w:rsid w:val="00DAA392"/>
    <w:rsid w:val="00DB0185"/>
    <w:rsid w:val="00DB1BA5"/>
    <w:rsid w:val="00DB1F81"/>
    <w:rsid w:val="00DB29E6"/>
    <w:rsid w:val="00DB2B14"/>
    <w:rsid w:val="00DB2D3B"/>
    <w:rsid w:val="00DB3051"/>
    <w:rsid w:val="00DB30DC"/>
    <w:rsid w:val="00DB349D"/>
    <w:rsid w:val="00DB39DF"/>
    <w:rsid w:val="00DB436A"/>
    <w:rsid w:val="00DB460B"/>
    <w:rsid w:val="00DB4794"/>
    <w:rsid w:val="00DB56B8"/>
    <w:rsid w:val="00DB7700"/>
    <w:rsid w:val="00DB78BD"/>
    <w:rsid w:val="00DB7EF4"/>
    <w:rsid w:val="00DC1189"/>
    <w:rsid w:val="00DC16F9"/>
    <w:rsid w:val="00DC2193"/>
    <w:rsid w:val="00DC21A7"/>
    <w:rsid w:val="00DC23A8"/>
    <w:rsid w:val="00DC264F"/>
    <w:rsid w:val="00DC3A81"/>
    <w:rsid w:val="00DC3A94"/>
    <w:rsid w:val="00DC3ADA"/>
    <w:rsid w:val="00DC503D"/>
    <w:rsid w:val="00DC523C"/>
    <w:rsid w:val="00DC567C"/>
    <w:rsid w:val="00DC5A40"/>
    <w:rsid w:val="00DC5C46"/>
    <w:rsid w:val="00DC5CD7"/>
    <w:rsid w:val="00DC5E7F"/>
    <w:rsid w:val="00DC61EB"/>
    <w:rsid w:val="00DC6457"/>
    <w:rsid w:val="00DC6E95"/>
    <w:rsid w:val="00DC73DF"/>
    <w:rsid w:val="00DC79CD"/>
    <w:rsid w:val="00DD0710"/>
    <w:rsid w:val="00DD0C1F"/>
    <w:rsid w:val="00DD1DBB"/>
    <w:rsid w:val="00DD2082"/>
    <w:rsid w:val="00DD2285"/>
    <w:rsid w:val="00DD2556"/>
    <w:rsid w:val="00DD26B4"/>
    <w:rsid w:val="00DD2DB9"/>
    <w:rsid w:val="00DD3256"/>
    <w:rsid w:val="00DD365A"/>
    <w:rsid w:val="00DD46B0"/>
    <w:rsid w:val="00DD4A82"/>
    <w:rsid w:val="00DD5499"/>
    <w:rsid w:val="00DD5527"/>
    <w:rsid w:val="00DD57B3"/>
    <w:rsid w:val="00DD5ACD"/>
    <w:rsid w:val="00DD6096"/>
    <w:rsid w:val="00DD71E9"/>
    <w:rsid w:val="00DD7AEE"/>
    <w:rsid w:val="00DD7CEF"/>
    <w:rsid w:val="00DE046B"/>
    <w:rsid w:val="00DE1A30"/>
    <w:rsid w:val="00DE1A7C"/>
    <w:rsid w:val="00DE1F36"/>
    <w:rsid w:val="00DE1F42"/>
    <w:rsid w:val="00DE2646"/>
    <w:rsid w:val="00DE2A35"/>
    <w:rsid w:val="00DE2CF4"/>
    <w:rsid w:val="00DE3A07"/>
    <w:rsid w:val="00DE4EB7"/>
    <w:rsid w:val="00DE4ED5"/>
    <w:rsid w:val="00DE5501"/>
    <w:rsid w:val="00DE685D"/>
    <w:rsid w:val="00DE7285"/>
    <w:rsid w:val="00DE77E4"/>
    <w:rsid w:val="00DF03BF"/>
    <w:rsid w:val="00DF03EE"/>
    <w:rsid w:val="00DF0F60"/>
    <w:rsid w:val="00DF17C5"/>
    <w:rsid w:val="00DF18D3"/>
    <w:rsid w:val="00DF210E"/>
    <w:rsid w:val="00DF3806"/>
    <w:rsid w:val="00DF3C3B"/>
    <w:rsid w:val="00DF4B2F"/>
    <w:rsid w:val="00DF583D"/>
    <w:rsid w:val="00DF5A18"/>
    <w:rsid w:val="00DF6F07"/>
    <w:rsid w:val="00DF6F6E"/>
    <w:rsid w:val="00DF72CF"/>
    <w:rsid w:val="00DF7875"/>
    <w:rsid w:val="00E009C1"/>
    <w:rsid w:val="00E00CA2"/>
    <w:rsid w:val="00E01C92"/>
    <w:rsid w:val="00E02648"/>
    <w:rsid w:val="00E05747"/>
    <w:rsid w:val="00E05FE1"/>
    <w:rsid w:val="00E07A09"/>
    <w:rsid w:val="00E10B75"/>
    <w:rsid w:val="00E10C80"/>
    <w:rsid w:val="00E1109B"/>
    <w:rsid w:val="00E1118D"/>
    <w:rsid w:val="00E11331"/>
    <w:rsid w:val="00E11415"/>
    <w:rsid w:val="00E11C06"/>
    <w:rsid w:val="00E11E0E"/>
    <w:rsid w:val="00E12EAD"/>
    <w:rsid w:val="00E13C5A"/>
    <w:rsid w:val="00E13CD1"/>
    <w:rsid w:val="00E144E2"/>
    <w:rsid w:val="00E14803"/>
    <w:rsid w:val="00E14856"/>
    <w:rsid w:val="00E14939"/>
    <w:rsid w:val="00E14C64"/>
    <w:rsid w:val="00E15A77"/>
    <w:rsid w:val="00E16138"/>
    <w:rsid w:val="00E16192"/>
    <w:rsid w:val="00E17403"/>
    <w:rsid w:val="00E17949"/>
    <w:rsid w:val="00E210CF"/>
    <w:rsid w:val="00E21243"/>
    <w:rsid w:val="00E2289C"/>
    <w:rsid w:val="00E22A6A"/>
    <w:rsid w:val="00E230C6"/>
    <w:rsid w:val="00E236BD"/>
    <w:rsid w:val="00E23E97"/>
    <w:rsid w:val="00E252F9"/>
    <w:rsid w:val="00E25CE3"/>
    <w:rsid w:val="00E260E0"/>
    <w:rsid w:val="00E26225"/>
    <w:rsid w:val="00E26331"/>
    <w:rsid w:val="00E2642F"/>
    <w:rsid w:val="00E26632"/>
    <w:rsid w:val="00E27A6F"/>
    <w:rsid w:val="00E326E2"/>
    <w:rsid w:val="00E334E3"/>
    <w:rsid w:val="00E33937"/>
    <w:rsid w:val="00E34098"/>
    <w:rsid w:val="00E34747"/>
    <w:rsid w:val="00E34D2B"/>
    <w:rsid w:val="00E35C17"/>
    <w:rsid w:val="00E35E4C"/>
    <w:rsid w:val="00E36885"/>
    <w:rsid w:val="00E369F2"/>
    <w:rsid w:val="00E375B9"/>
    <w:rsid w:val="00E3771C"/>
    <w:rsid w:val="00E37E93"/>
    <w:rsid w:val="00E41212"/>
    <w:rsid w:val="00E41D1F"/>
    <w:rsid w:val="00E42194"/>
    <w:rsid w:val="00E4225F"/>
    <w:rsid w:val="00E4231A"/>
    <w:rsid w:val="00E42E2A"/>
    <w:rsid w:val="00E42FDC"/>
    <w:rsid w:val="00E43CE2"/>
    <w:rsid w:val="00E440E8"/>
    <w:rsid w:val="00E449AD"/>
    <w:rsid w:val="00E452A1"/>
    <w:rsid w:val="00E45DCE"/>
    <w:rsid w:val="00E45F12"/>
    <w:rsid w:val="00E4617B"/>
    <w:rsid w:val="00E46729"/>
    <w:rsid w:val="00E4776E"/>
    <w:rsid w:val="00E505D9"/>
    <w:rsid w:val="00E508B6"/>
    <w:rsid w:val="00E50A22"/>
    <w:rsid w:val="00E52959"/>
    <w:rsid w:val="00E5331C"/>
    <w:rsid w:val="00E53A24"/>
    <w:rsid w:val="00E53B86"/>
    <w:rsid w:val="00E5446D"/>
    <w:rsid w:val="00E54D09"/>
    <w:rsid w:val="00E55AF0"/>
    <w:rsid w:val="00E563FD"/>
    <w:rsid w:val="00E56D1A"/>
    <w:rsid w:val="00E5736F"/>
    <w:rsid w:val="00E57727"/>
    <w:rsid w:val="00E579A3"/>
    <w:rsid w:val="00E604B2"/>
    <w:rsid w:val="00E62B73"/>
    <w:rsid w:val="00E6312B"/>
    <w:rsid w:val="00E63BDB"/>
    <w:rsid w:val="00E63FA8"/>
    <w:rsid w:val="00E64090"/>
    <w:rsid w:val="00E64878"/>
    <w:rsid w:val="00E64FD5"/>
    <w:rsid w:val="00E65E77"/>
    <w:rsid w:val="00E65EF7"/>
    <w:rsid w:val="00E67C80"/>
    <w:rsid w:val="00E67FF9"/>
    <w:rsid w:val="00E70AD9"/>
    <w:rsid w:val="00E70B53"/>
    <w:rsid w:val="00E711A6"/>
    <w:rsid w:val="00E71274"/>
    <w:rsid w:val="00E72BF8"/>
    <w:rsid w:val="00E7360B"/>
    <w:rsid w:val="00E739F3"/>
    <w:rsid w:val="00E73ED6"/>
    <w:rsid w:val="00E76595"/>
    <w:rsid w:val="00E76818"/>
    <w:rsid w:val="00E772C8"/>
    <w:rsid w:val="00E77E30"/>
    <w:rsid w:val="00E77ED2"/>
    <w:rsid w:val="00E80BF7"/>
    <w:rsid w:val="00E82253"/>
    <w:rsid w:val="00E82AB1"/>
    <w:rsid w:val="00E82B84"/>
    <w:rsid w:val="00E82D20"/>
    <w:rsid w:val="00E839DB"/>
    <w:rsid w:val="00E83F21"/>
    <w:rsid w:val="00E84921"/>
    <w:rsid w:val="00E84EFE"/>
    <w:rsid w:val="00E852F7"/>
    <w:rsid w:val="00E90854"/>
    <w:rsid w:val="00E90F21"/>
    <w:rsid w:val="00E9163B"/>
    <w:rsid w:val="00E92963"/>
    <w:rsid w:val="00E92DDE"/>
    <w:rsid w:val="00E92E8B"/>
    <w:rsid w:val="00E9327F"/>
    <w:rsid w:val="00E937D8"/>
    <w:rsid w:val="00E93FF8"/>
    <w:rsid w:val="00E94144"/>
    <w:rsid w:val="00E94545"/>
    <w:rsid w:val="00E94F60"/>
    <w:rsid w:val="00E9596C"/>
    <w:rsid w:val="00E963FB"/>
    <w:rsid w:val="00E96880"/>
    <w:rsid w:val="00EA04E3"/>
    <w:rsid w:val="00EA0755"/>
    <w:rsid w:val="00EA136B"/>
    <w:rsid w:val="00EA1752"/>
    <w:rsid w:val="00EA1BBF"/>
    <w:rsid w:val="00EA1DD2"/>
    <w:rsid w:val="00EA255A"/>
    <w:rsid w:val="00EA2EE4"/>
    <w:rsid w:val="00EA31C1"/>
    <w:rsid w:val="00EA3267"/>
    <w:rsid w:val="00EA38DB"/>
    <w:rsid w:val="00EA3F3B"/>
    <w:rsid w:val="00EA4C3D"/>
    <w:rsid w:val="00EA5057"/>
    <w:rsid w:val="00EA5060"/>
    <w:rsid w:val="00EA5AC3"/>
    <w:rsid w:val="00EA5CF3"/>
    <w:rsid w:val="00EA6170"/>
    <w:rsid w:val="00EA74CB"/>
    <w:rsid w:val="00EB0AC9"/>
    <w:rsid w:val="00EB0BFC"/>
    <w:rsid w:val="00EB0F80"/>
    <w:rsid w:val="00EB1FE1"/>
    <w:rsid w:val="00EB203E"/>
    <w:rsid w:val="00EB20EC"/>
    <w:rsid w:val="00EB223F"/>
    <w:rsid w:val="00EB2418"/>
    <w:rsid w:val="00EB2A09"/>
    <w:rsid w:val="00EB3067"/>
    <w:rsid w:val="00EB30D8"/>
    <w:rsid w:val="00EB406B"/>
    <w:rsid w:val="00EB42E7"/>
    <w:rsid w:val="00EB48D5"/>
    <w:rsid w:val="00EB4B5A"/>
    <w:rsid w:val="00EB5046"/>
    <w:rsid w:val="00EB6292"/>
    <w:rsid w:val="00EB6ACD"/>
    <w:rsid w:val="00EB6BC6"/>
    <w:rsid w:val="00EB6D01"/>
    <w:rsid w:val="00EB7152"/>
    <w:rsid w:val="00EB7380"/>
    <w:rsid w:val="00EB7D50"/>
    <w:rsid w:val="00EC0035"/>
    <w:rsid w:val="00EC058D"/>
    <w:rsid w:val="00EC07DB"/>
    <w:rsid w:val="00EC1770"/>
    <w:rsid w:val="00EC1A7A"/>
    <w:rsid w:val="00EC2431"/>
    <w:rsid w:val="00EC2D8D"/>
    <w:rsid w:val="00EC2E63"/>
    <w:rsid w:val="00EC3409"/>
    <w:rsid w:val="00EC3A14"/>
    <w:rsid w:val="00EC4A1A"/>
    <w:rsid w:val="00EC4F74"/>
    <w:rsid w:val="00EC51F6"/>
    <w:rsid w:val="00EC53E4"/>
    <w:rsid w:val="00EC56BE"/>
    <w:rsid w:val="00EC5A16"/>
    <w:rsid w:val="00EC5D33"/>
    <w:rsid w:val="00EC6306"/>
    <w:rsid w:val="00EC6C9F"/>
    <w:rsid w:val="00EC7281"/>
    <w:rsid w:val="00EC7579"/>
    <w:rsid w:val="00EC7591"/>
    <w:rsid w:val="00EC77D8"/>
    <w:rsid w:val="00ED0832"/>
    <w:rsid w:val="00ED109C"/>
    <w:rsid w:val="00ED113F"/>
    <w:rsid w:val="00ED159C"/>
    <w:rsid w:val="00ED1A98"/>
    <w:rsid w:val="00ED213E"/>
    <w:rsid w:val="00ED39C8"/>
    <w:rsid w:val="00ED3A6D"/>
    <w:rsid w:val="00ED4076"/>
    <w:rsid w:val="00ED4BF7"/>
    <w:rsid w:val="00ED50FB"/>
    <w:rsid w:val="00ED579E"/>
    <w:rsid w:val="00ED5AD5"/>
    <w:rsid w:val="00ED5B8E"/>
    <w:rsid w:val="00ED6854"/>
    <w:rsid w:val="00ED6CB8"/>
    <w:rsid w:val="00ED6E30"/>
    <w:rsid w:val="00ED734E"/>
    <w:rsid w:val="00ED7457"/>
    <w:rsid w:val="00ED7B10"/>
    <w:rsid w:val="00ED7B73"/>
    <w:rsid w:val="00EE0A1A"/>
    <w:rsid w:val="00EE1466"/>
    <w:rsid w:val="00EE238B"/>
    <w:rsid w:val="00EE2422"/>
    <w:rsid w:val="00EE247E"/>
    <w:rsid w:val="00EE26A8"/>
    <w:rsid w:val="00EE3358"/>
    <w:rsid w:val="00EE3AD4"/>
    <w:rsid w:val="00EE5598"/>
    <w:rsid w:val="00EE5B36"/>
    <w:rsid w:val="00EE60CC"/>
    <w:rsid w:val="00EE6A23"/>
    <w:rsid w:val="00EE6B88"/>
    <w:rsid w:val="00EE6DBE"/>
    <w:rsid w:val="00EE7115"/>
    <w:rsid w:val="00EE78E4"/>
    <w:rsid w:val="00EF1032"/>
    <w:rsid w:val="00EF3656"/>
    <w:rsid w:val="00EF44F7"/>
    <w:rsid w:val="00EF513F"/>
    <w:rsid w:val="00EF6070"/>
    <w:rsid w:val="00EF639E"/>
    <w:rsid w:val="00EF6428"/>
    <w:rsid w:val="00EF656C"/>
    <w:rsid w:val="00EF6ED4"/>
    <w:rsid w:val="00EF75B1"/>
    <w:rsid w:val="00F00D6D"/>
    <w:rsid w:val="00F0103F"/>
    <w:rsid w:val="00F0131C"/>
    <w:rsid w:val="00F02306"/>
    <w:rsid w:val="00F02679"/>
    <w:rsid w:val="00F030D0"/>
    <w:rsid w:val="00F03214"/>
    <w:rsid w:val="00F037FB"/>
    <w:rsid w:val="00F03951"/>
    <w:rsid w:val="00F04863"/>
    <w:rsid w:val="00F05096"/>
    <w:rsid w:val="00F051C4"/>
    <w:rsid w:val="00F0530C"/>
    <w:rsid w:val="00F0543F"/>
    <w:rsid w:val="00F05993"/>
    <w:rsid w:val="00F060CE"/>
    <w:rsid w:val="00F06ECF"/>
    <w:rsid w:val="00F0F923"/>
    <w:rsid w:val="00F100B0"/>
    <w:rsid w:val="00F10322"/>
    <w:rsid w:val="00F107DD"/>
    <w:rsid w:val="00F11A2A"/>
    <w:rsid w:val="00F130DE"/>
    <w:rsid w:val="00F13129"/>
    <w:rsid w:val="00F13A0C"/>
    <w:rsid w:val="00F13C87"/>
    <w:rsid w:val="00F15C79"/>
    <w:rsid w:val="00F16C69"/>
    <w:rsid w:val="00F17248"/>
    <w:rsid w:val="00F17948"/>
    <w:rsid w:val="00F17C55"/>
    <w:rsid w:val="00F20883"/>
    <w:rsid w:val="00F21654"/>
    <w:rsid w:val="00F217CF"/>
    <w:rsid w:val="00F233E5"/>
    <w:rsid w:val="00F236FB"/>
    <w:rsid w:val="00F24630"/>
    <w:rsid w:val="00F25F6A"/>
    <w:rsid w:val="00F26AD5"/>
    <w:rsid w:val="00F26C01"/>
    <w:rsid w:val="00F27322"/>
    <w:rsid w:val="00F2756B"/>
    <w:rsid w:val="00F30639"/>
    <w:rsid w:val="00F31ADD"/>
    <w:rsid w:val="00F31B37"/>
    <w:rsid w:val="00F31E70"/>
    <w:rsid w:val="00F32DC2"/>
    <w:rsid w:val="00F33C7D"/>
    <w:rsid w:val="00F3451C"/>
    <w:rsid w:val="00F34FB4"/>
    <w:rsid w:val="00F351FF"/>
    <w:rsid w:val="00F35B6F"/>
    <w:rsid w:val="00F363E7"/>
    <w:rsid w:val="00F378BD"/>
    <w:rsid w:val="00F37E10"/>
    <w:rsid w:val="00F40B7B"/>
    <w:rsid w:val="00F410C0"/>
    <w:rsid w:val="00F42A4B"/>
    <w:rsid w:val="00F44811"/>
    <w:rsid w:val="00F44A3D"/>
    <w:rsid w:val="00F44BBE"/>
    <w:rsid w:val="00F453D0"/>
    <w:rsid w:val="00F4662E"/>
    <w:rsid w:val="00F47454"/>
    <w:rsid w:val="00F47D33"/>
    <w:rsid w:val="00F47EBC"/>
    <w:rsid w:val="00F50930"/>
    <w:rsid w:val="00F519B0"/>
    <w:rsid w:val="00F5246C"/>
    <w:rsid w:val="00F52559"/>
    <w:rsid w:val="00F52770"/>
    <w:rsid w:val="00F52CA0"/>
    <w:rsid w:val="00F5348A"/>
    <w:rsid w:val="00F535E3"/>
    <w:rsid w:val="00F5405B"/>
    <w:rsid w:val="00F5548F"/>
    <w:rsid w:val="00F55BF0"/>
    <w:rsid w:val="00F56BC6"/>
    <w:rsid w:val="00F570AA"/>
    <w:rsid w:val="00F570BD"/>
    <w:rsid w:val="00F5714E"/>
    <w:rsid w:val="00F57C5B"/>
    <w:rsid w:val="00F60176"/>
    <w:rsid w:val="00F60A34"/>
    <w:rsid w:val="00F60CD4"/>
    <w:rsid w:val="00F612D3"/>
    <w:rsid w:val="00F61D6E"/>
    <w:rsid w:val="00F62185"/>
    <w:rsid w:val="00F62695"/>
    <w:rsid w:val="00F626C0"/>
    <w:rsid w:val="00F62702"/>
    <w:rsid w:val="00F6331A"/>
    <w:rsid w:val="00F63B50"/>
    <w:rsid w:val="00F63BD3"/>
    <w:rsid w:val="00F63DC7"/>
    <w:rsid w:val="00F64542"/>
    <w:rsid w:val="00F65400"/>
    <w:rsid w:val="00F65403"/>
    <w:rsid w:val="00F65A0D"/>
    <w:rsid w:val="00F6619F"/>
    <w:rsid w:val="00F67346"/>
    <w:rsid w:val="00F67D08"/>
    <w:rsid w:val="00F70504"/>
    <w:rsid w:val="00F70B87"/>
    <w:rsid w:val="00F70DEB"/>
    <w:rsid w:val="00F71313"/>
    <w:rsid w:val="00F71318"/>
    <w:rsid w:val="00F71448"/>
    <w:rsid w:val="00F72559"/>
    <w:rsid w:val="00F72F33"/>
    <w:rsid w:val="00F75D5F"/>
    <w:rsid w:val="00F7663C"/>
    <w:rsid w:val="00F767A7"/>
    <w:rsid w:val="00F769DA"/>
    <w:rsid w:val="00F771D6"/>
    <w:rsid w:val="00F77903"/>
    <w:rsid w:val="00F77985"/>
    <w:rsid w:val="00F77DA4"/>
    <w:rsid w:val="00F77F71"/>
    <w:rsid w:val="00F805F4"/>
    <w:rsid w:val="00F8080C"/>
    <w:rsid w:val="00F80F01"/>
    <w:rsid w:val="00F821B7"/>
    <w:rsid w:val="00F82518"/>
    <w:rsid w:val="00F8284A"/>
    <w:rsid w:val="00F84038"/>
    <w:rsid w:val="00F841D9"/>
    <w:rsid w:val="00F843A5"/>
    <w:rsid w:val="00F847FC"/>
    <w:rsid w:val="00F8541F"/>
    <w:rsid w:val="00F854DA"/>
    <w:rsid w:val="00F85C86"/>
    <w:rsid w:val="00F869C5"/>
    <w:rsid w:val="00F86A14"/>
    <w:rsid w:val="00F86B6E"/>
    <w:rsid w:val="00F86FA7"/>
    <w:rsid w:val="00F87559"/>
    <w:rsid w:val="00F8783D"/>
    <w:rsid w:val="00F87B6A"/>
    <w:rsid w:val="00F903D2"/>
    <w:rsid w:val="00F90C27"/>
    <w:rsid w:val="00F92247"/>
    <w:rsid w:val="00F92265"/>
    <w:rsid w:val="00F93CE0"/>
    <w:rsid w:val="00F941F1"/>
    <w:rsid w:val="00F94530"/>
    <w:rsid w:val="00F94BE6"/>
    <w:rsid w:val="00F95499"/>
    <w:rsid w:val="00F95656"/>
    <w:rsid w:val="00F95A97"/>
    <w:rsid w:val="00F95C60"/>
    <w:rsid w:val="00F95D45"/>
    <w:rsid w:val="00F96B44"/>
    <w:rsid w:val="00F96CA7"/>
    <w:rsid w:val="00F9750F"/>
    <w:rsid w:val="00F97F3A"/>
    <w:rsid w:val="00F97FD4"/>
    <w:rsid w:val="00FA0542"/>
    <w:rsid w:val="00FA1212"/>
    <w:rsid w:val="00FA2456"/>
    <w:rsid w:val="00FA2E0F"/>
    <w:rsid w:val="00FA2F70"/>
    <w:rsid w:val="00FA3408"/>
    <w:rsid w:val="00FA3B3B"/>
    <w:rsid w:val="00FA5800"/>
    <w:rsid w:val="00FA58A1"/>
    <w:rsid w:val="00FA5940"/>
    <w:rsid w:val="00FA5A1B"/>
    <w:rsid w:val="00FA6094"/>
    <w:rsid w:val="00FA6BC1"/>
    <w:rsid w:val="00FA7C78"/>
    <w:rsid w:val="00FB0FC2"/>
    <w:rsid w:val="00FB14F1"/>
    <w:rsid w:val="00FB21CF"/>
    <w:rsid w:val="00FB2872"/>
    <w:rsid w:val="00FB2D46"/>
    <w:rsid w:val="00FB389A"/>
    <w:rsid w:val="00FB45B8"/>
    <w:rsid w:val="00FB48ED"/>
    <w:rsid w:val="00FB4F84"/>
    <w:rsid w:val="00FB54EB"/>
    <w:rsid w:val="00FB6EC5"/>
    <w:rsid w:val="00FB79D9"/>
    <w:rsid w:val="00FB7E2D"/>
    <w:rsid w:val="00FB7EB9"/>
    <w:rsid w:val="00FC1160"/>
    <w:rsid w:val="00FC20E5"/>
    <w:rsid w:val="00FC248F"/>
    <w:rsid w:val="00FC284B"/>
    <w:rsid w:val="00FC3357"/>
    <w:rsid w:val="00FC4609"/>
    <w:rsid w:val="00FC58A6"/>
    <w:rsid w:val="00FC6060"/>
    <w:rsid w:val="00FC63C6"/>
    <w:rsid w:val="00FC6BEF"/>
    <w:rsid w:val="00FC783E"/>
    <w:rsid w:val="00FC7E4D"/>
    <w:rsid w:val="00FD2653"/>
    <w:rsid w:val="00FD3F92"/>
    <w:rsid w:val="00FD5291"/>
    <w:rsid w:val="00FD7447"/>
    <w:rsid w:val="00FD78AD"/>
    <w:rsid w:val="00FE12E8"/>
    <w:rsid w:val="00FE205C"/>
    <w:rsid w:val="00FE26E6"/>
    <w:rsid w:val="00FE290E"/>
    <w:rsid w:val="00FE3594"/>
    <w:rsid w:val="00FE3810"/>
    <w:rsid w:val="00FE40A8"/>
    <w:rsid w:val="00FE5020"/>
    <w:rsid w:val="00FE57B5"/>
    <w:rsid w:val="00FE6581"/>
    <w:rsid w:val="00FE6B82"/>
    <w:rsid w:val="00FE6C09"/>
    <w:rsid w:val="00FE718F"/>
    <w:rsid w:val="00FE7957"/>
    <w:rsid w:val="00FE7B22"/>
    <w:rsid w:val="00FF09DD"/>
    <w:rsid w:val="00FF0D7F"/>
    <w:rsid w:val="00FF116A"/>
    <w:rsid w:val="00FF1CF6"/>
    <w:rsid w:val="00FF2497"/>
    <w:rsid w:val="00FF2D5E"/>
    <w:rsid w:val="00FF2FB6"/>
    <w:rsid w:val="00FF2FC7"/>
    <w:rsid w:val="00FF3E12"/>
    <w:rsid w:val="00FF5271"/>
    <w:rsid w:val="00FF5A82"/>
    <w:rsid w:val="00FF5F38"/>
    <w:rsid w:val="00FF62E6"/>
    <w:rsid w:val="00FF63A8"/>
    <w:rsid w:val="00FF6C42"/>
    <w:rsid w:val="01015897"/>
    <w:rsid w:val="0101F964"/>
    <w:rsid w:val="010BADE4"/>
    <w:rsid w:val="011D127B"/>
    <w:rsid w:val="0123A751"/>
    <w:rsid w:val="01270A10"/>
    <w:rsid w:val="012C34CA"/>
    <w:rsid w:val="012FF492"/>
    <w:rsid w:val="01386C8F"/>
    <w:rsid w:val="01387895"/>
    <w:rsid w:val="0150B1CC"/>
    <w:rsid w:val="01532909"/>
    <w:rsid w:val="015B3FFC"/>
    <w:rsid w:val="015D2B1D"/>
    <w:rsid w:val="0167C48D"/>
    <w:rsid w:val="016F6107"/>
    <w:rsid w:val="016FE113"/>
    <w:rsid w:val="0177BCAB"/>
    <w:rsid w:val="017981C5"/>
    <w:rsid w:val="017EE80D"/>
    <w:rsid w:val="0185678C"/>
    <w:rsid w:val="0199CFDF"/>
    <w:rsid w:val="019E6366"/>
    <w:rsid w:val="01A407DC"/>
    <w:rsid w:val="01A45CDF"/>
    <w:rsid w:val="01A8188F"/>
    <w:rsid w:val="01BA5FF0"/>
    <w:rsid w:val="01BEA756"/>
    <w:rsid w:val="01C48D4C"/>
    <w:rsid w:val="01C617E9"/>
    <w:rsid w:val="01D0B586"/>
    <w:rsid w:val="01DC95C8"/>
    <w:rsid w:val="01DCE848"/>
    <w:rsid w:val="01DCEBBF"/>
    <w:rsid w:val="01DE4C85"/>
    <w:rsid w:val="01E122E3"/>
    <w:rsid w:val="01EDDF15"/>
    <w:rsid w:val="01EF3F37"/>
    <w:rsid w:val="0202047D"/>
    <w:rsid w:val="020C20C0"/>
    <w:rsid w:val="021A27F9"/>
    <w:rsid w:val="021B5FEC"/>
    <w:rsid w:val="021BE1D6"/>
    <w:rsid w:val="022AC285"/>
    <w:rsid w:val="022C6EA5"/>
    <w:rsid w:val="022F0EDF"/>
    <w:rsid w:val="024178A6"/>
    <w:rsid w:val="0248903F"/>
    <w:rsid w:val="02538D33"/>
    <w:rsid w:val="02560FDD"/>
    <w:rsid w:val="027BAAE1"/>
    <w:rsid w:val="028EF56D"/>
    <w:rsid w:val="02907AD8"/>
    <w:rsid w:val="02A1F88E"/>
    <w:rsid w:val="02A5EC0B"/>
    <w:rsid w:val="02AFBFCF"/>
    <w:rsid w:val="02B2166A"/>
    <w:rsid w:val="02B4CCA7"/>
    <w:rsid w:val="02B6F975"/>
    <w:rsid w:val="02C9BD4B"/>
    <w:rsid w:val="02CC0D69"/>
    <w:rsid w:val="02CDF6C3"/>
    <w:rsid w:val="02D0CAD8"/>
    <w:rsid w:val="02E144BF"/>
    <w:rsid w:val="02EEA704"/>
    <w:rsid w:val="02F29958"/>
    <w:rsid w:val="02F48BBA"/>
    <w:rsid w:val="02FB52EA"/>
    <w:rsid w:val="03075F27"/>
    <w:rsid w:val="030E7943"/>
    <w:rsid w:val="031A5F6B"/>
    <w:rsid w:val="031E1AE7"/>
    <w:rsid w:val="0335CAA7"/>
    <w:rsid w:val="0339DFCD"/>
    <w:rsid w:val="033AA9AE"/>
    <w:rsid w:val="033FDF0A"/>
    <w:rsid w:val="0353871A"/>
    <w:rsid w:val="0353CBE8"/>
    <w:rsid w:val="03570E2B"/>
    <w:rsid w:val="0359A5F2"/>
    <w:rsid w:val="03717A22"/>
    <w:rsid w:val="0380961A"/>
    <w:rsid w:val="03846E0F"/>
    <w:rsid w:val="0387A1D9"/>
    <w:rsid w:val="038E2EDA"/>
    <w:rsid w:val="039571B5"/>
    <w:rsid w:val="03A8A7FE"/>
    <w:rsid w:val="03AD0ADB"/>
    <w:rsid w:val="03B30E0C"/>
    <w:rsid w:val="03BAB6AE"/>
    <w:rsid w:val="03BAF98B"/>
    <w:rsid w:val="03C1EB8C"/>
    <w:rsid w:val="03C27766"/>
    <w:rsid w:val="03C29492"/>
    <w:rsid w:val="03C817A4"/>
    <w:rsid w:val="03CCEC73"/>
    <w:rsid w:val="03E0A38F"/>
    <w:rsid w:val="03E1C41B"/>
    <w:rsid w:val="03E7B4B2"/>
    <w:rsid w:val="03E883ED"/>
    <w:rsid w:val="03F22F40"/>
    <w:rsid w:val="04005CAD"/>
    <w:rsid w:val="0404F4BF"/>
    <w:rsid w:val="041D6AA3"/>
    <w:rsid w:val="04234577"/>
    <w:rsid w:val="042CD44B"/>
    <w:rsid w:val="042D8709"/>
    <w:rsid w:val="04354029"/>
    <w:rsid w:val="043A9949"/>
    <w:rsid w:val="043EC4DA"/>
    <w:rsid w:val="0446B29D"/>
    <w:rsid w:val="044C0C3B"/>
    <w:rsid w:val="044C3084"/>
    <w:rsid w:val="04542CB3"/>
    <w:rsid w:val="045CD352"/>
    <w:rsid w:val="0462C192"/>
    <w:rsid w:val="0473F2CE"/>
    <w:rsid w:val="04787B1E"/>
    <w:rsid w:val="047926D0"/>
    <w:rsid w:val="047997D3"/>
    <w:rsid w:val="047EF749"/>
    <w:rsid w:val="0488E57F"/>
    <w:rsid w:val="049022F9"/>
    <w:rsid w:val="04AA7C0E"/>
    <w:rsid w:val="04B62EB4"/>
    <w:rsid w:val="04BD4F06"/>
    <w:rsid w:val="04BE7CD0"/>
    <w:rsid w:val="04C76C4D"/>
    <w:rsid w:val="04D44A10"/>
    <w:rsid w:val="04DAF324"/>
    <w:rsid w:val="04DBBB0C"/>
    <w:rsid w:val="04DBCC35"/>
    <w:rsid w:val="04DC2336"/>
    <w:rsid w:val="04DC8555"/>
    <w:rsid w:val="04F59B01"/>
    <w:rsid w:val="04F61C73"/>
    <w:rsid w:val="0503BE18"/>
    <w:rsid w:val="0505EBF8"/>
    <w:rsid w:val="050D7247"/>
    <w:rsid w:val="0511B2A9"/>
    <w:rsid w:val="05198DB2"/>
    <w:rsid w:val="051C7E2E"/>
    <w:rsid w:val="0522DBFE"/>
    <w:rsid w:val="05248842"/>
    <w:rsid w:val="0524C8FF"/>
    <w:rsid w:val="05329B98"/>
    <w:rsid w:val="053E3D2D"/>
    <w:rsid w:val="055831C9"/>
    <w:rsid w:val="055CF4B7"/>
    <w:rsid w:val="05682E91"/>
    <w:rsid w:val="056D789B"/>
    <w:rsid w:val="058461C0"/>
    <w:rsid w:val="05856535"/>
    <w:rsid w:val="058B45F3"/>
    <w:rsid w:val="059B9FD5"/>
    <w:rsid w:val="05AD0E52"/>
    <w:rsid w:val="05CF4BB7"/>
    <w:rsid w:val="05D824B6"/>
    <w:rsid w:val="05D8F183"/>
    <w:rsid w:val="05DBF020"/>
    <w:rsid w:val="05DC67FD"/>
    <w:rsid w:val="05DEAAF6"/>
    <w:rsid w:val="05E76C62"/>
    <w:rsid w:val="05EC2EF8"/>
    <w:rsid w:val="05F17A63"/>
    <w:rsid w:val="05F4EA6B"/>
    <w:rsid w:val="05F8E30D"/>
    <w:rsid w:val="0601364A"/>
    <w:rsid w:val="0605FC2C"/>
    <w:rsid w:val="060EE3FF"/>
    <w:rsid w:val="0618B564"/>
    <w:rsid w:val="0634DAF8"/>
    <w:rsid w:val="063DA9BB"/>
    <w:rsid w:val="064958C3"/>
    <w:rsid w:val="064982BE"/>
    <w:rsid w:val="064C86B2"/>
    <w:rsid w:val="064E4EF2"/>
    <w:rsid w:val="065D8F3B"/>
    <w:rsid w:val="06633D62"/>
    <w:rsid w:val="06673037"/>
    <w:rsid w:val="066D80C2"/>
    <w:rsid w:val="0671D489"/>
    <w:rsid w:val="0674E77C"/>
    <w:rsid w:val="06762AA7"/>
    <w:rsid w:val="067DD71A"/>
    <w:rsid w:val="069A159F"/>
    <w:rsid w:val="069AD440"/>
    <w:rsid w:val="069B0436"/>
    <w:rsid w:val="069B4B7B"/>
    <w:rsid w:val="06A288A1"/>
    <w:rsid w:val="06A99245"/>
    <w:rsid w:val="06B3EC64"/>
    <w:rsid w:val="06BABCC5"/>
    <w:rsid w:val="06C2D518"/>
    <w:rsid w:val="06C92457"/>
    <w:rsid w:val="06CD6AAE"/>
    <w:rsid w:val="06D8FF47"/>
    <w:rsid w:val="06DA9648"/>
    <w:rsid w:val="06DC29A0"/>
    <w:rsid w:val="06E7492B"/>
    <w:rsid w:val="0709D69C"/>
    <w:rsid w:val="070CC236"/>
    <w:rsid w:val="070FB98D"/>
    <w:rsid w:val="0710BBF5"/>
    <w:rsid w:val="071820D4"/>
    <w:rsid w:val="071FB5D0"/>
    <w:rsid w:val="0721937A"/>
    <w:rsid w:val="0722DA0E"/>
    <w:rsid w:val="0723CFA6"/>
    <w:rsid w:val="07319E84"/>
    <w:rsid w:val="073D4B8D"/>
    <w:rsid w:val="073F3D3A"/>
    <w:rsid w:val="073F7871"/>
    <w:rsid w:val="074249F0"/>
    <w:rsid w:val="07487399"/>
    <w:rsid w:val="0769ED28"/>
    <w:rsid w:val="077A7C7F"/>
    <w:rsid w:val="077D2337"/>
    <w:rsid w:val="078646C2"/>
    <w:rsid w:val="0794A691"/>
    <w:rsid w:val="07965CF7"/>
    <w:rsid w:val="079D9E1E"/>
    <w:rsid w:val="07A12835"/>
    <w:rsid w:val="07A799BD"/>
    <w:rsid w:val="07A98D80"/>
    <w:rsid w:val="07B32E75"/>
    <w:rsid w:val="07B4DB8B"/>
    <w:rsid w:val="07B80FDC"/>
    <w:rsid w:val="07C37AC5"/>
    <w:rsid w:val="07C532B6"/>
    <w:rsid w:val="07CB57C1"/>
    <w:rsid w:val="07CD6B21"/>
    <w:rsid w:val="07D164CF"/>
    <w:rsid w:val="07E357FA"/>
    <w:rsid w:val="07F817CF"/>
    <w:rsid w:val="07F9DFCC"/>
    <w:rsid w:val="08032FDE"/>
    <w:rsid w:val="08079FD2"/>
    <w:rsid w:val="08094CD4"/>
    <w:rsid w:val="08165BBE"/>
    <w:rsid w:val="0821A248"/>
    <w:rsid w:val="0826226F"/>
    <w:rsid w:val="08332DC5"/>
    <w:rsid w:val="0844187F"/>
    <w:rsid w:val="0846B4A5"/>
    <w:rsid w:val="0847399F"/>
    <w:rsid w:val="085940CB"/>
    <w:rsid w:val="085A40EC"/>
    <w:rsid w:val="085B52AD"/>
    <w:rsid w:val="08741CE2"/>
    <w:rsid w:val="08771DB6"/>
    <w:rsid w:val="0887A546"/>
    <w:rsid w:val="088B948C"/>
    <w:rsid w:val="088DD4CB"/>
    <w:rsid w:val="08907A34"/>
    <w:rsid w:val="08A1D887"/>
    <w:rsid w:val="08B8052E"/>
    <w:rsid w:val="08DE1A51"/>
    <w:rsid w:val="08E59049"/>
    <w:rsid w:val="08E72327"/>
    <w:rsid w:val="08E90948"/>
    <w:rsid w:val="08ECF40D"/>
    <w:rsid w:val="08EE1F26"/>
    <w:rsid w:val="08F3AFA9"/>
    <w:rsid w:val="08F4971E"/>
    <w:rsid w:val="08FD2EEE"/>
    <w:rsid w:val="09068B58"/>
    <w:rsid w:val="090EEE9F"/>
    <w:rsid w:val="091CBE6F"/>
    <w:rsid w:val="091DD983"/>
    <w:rsid w:val="0933DDCE"/>
    <w:rsid w:val="0933E972"/>
    <w:rsid w:val="0940941E"/>
    <w:rsid w:val="0943850E"/>
    <w:rsid w:val="0949E90F"/>
    <w:rsid w:val="094C7AE0"/>
    <w:rsid w:val="09556562"/>
    <w:rsid w:val="0956F241"/>
    <w:rsid w:val="096154FE"/>
    <w:rsid w:val="0971A33B"/>
    <w:rsid w:val="09743EF1"/>
    <w:rsid w:val="097C3AE9"/>
    <w:rsid w:val="09868A52"/>
    <w:rsid w:val="09891CD1"/>
    <w:rsid w:val="098FD20B"/>
    <w:rsid w:val="09907971"/>
    <w:rsid w:val="099D770F"/>
    <w:rsid w:val="09A0162F"/>
    <w:rsid w:val="09A67938"/>
    <w:rsid w:val="09B8FB70"/>
    <w:rsid w:val="09B9116A"/>
    <w:rsid w:val="09B986C5"/>
    <w:rsid w:val="09BBC678"/>
    <w:rsid w:val="09C556FD"/>
    <w:rsid w:val="09D3D9E5"/>
    <w:rsid w:val="09E242F4"/>
    <w:rsid w:val="0A14080A"/>
    <w:rsid w:val="0A163EEA"/>
    <w:rsid w:val="0A269AA4"/>
    <w:rsid w:val="0A271A92"/>
    <w:rsid w:val="0A292A5A"/>
    <w:rsid w:val="0A33EC00"/>
    <w:rsid w:val="0A4DBBDC"/>
    <w:rsid w:val="0A4F8A7B"/>
    <w:rsid w:val="0A516235"/>
    <w:rsid w:val="0A626BC7"/>
    <w:rsid w:val="0A6ABD0B"/>
    <w:rsid w:val="0A6B4E8C"/>
    <w:rsid w:val="0A79EAB2"/>
    <w:rsid w:val="0A83C36A"/>
    <w:rsid w:val="0A88F26D"/>
    <w:rsid w:val="0A8AE013"/>
    <w:rsid w:val="0A94A931"/>
    <w:rsid w:val="0A9A1FB3"/>
    <w:rsid w:val="0AA4FB26"/>
    <w:rsid w:val="0AB8F978"/>
    <w:rsid w:val="0AD437B8"/>
    <w:rsid w:val="0AD6A945"/>
    <w:rsid w:val="0AE2A7CF"/>
    <w:rsid w:val="0AE434F5"/>
    <w:rsid w:val="0AE890AC"/>
    <w:rsid w:val="0AED91AE"/>
    <w:rsid w:val="0AFA8E74"/>
    <w:rsid w:val="0AFB4BB4"/>
    <w:rsid w:val="0B124AAB"/>
    <w:rsid w:val="0B127715"/>
    <w:rsid w:val="0B14987A"/>
    <w:rsid w:val="0B2351D4"/>
    <w:rsid w:val="0B25EC22"/>
    <w:rsid w:val="0B2A36CD"/>
    <w:rsid w:val="0B2F3C46"/>
    <w:rsid w:val="0B37265F"/>
    <w:rsid w:val="0B3F57D1"/>
    <w:rsid w:val="0B4AD39A"/>
    <w:rsid w:val="0B55108D"/>
    <w:rsid w:val="0B74B0EB"/>
    <w:rsid w:val="0B7C8BD8"/>
    <w:rsid w:val="0B7F795F"/>
    <w:rsid w:val="0B857D28"/>
    <w:rsid w:val="0B873CAB"/>
    <w:rsid w:val="0B91F6BB"/>
    <w:rsid w:val="0BA4A5F9"/>
    <w:rsid w:val="0BACB249"/>
    <w:rsid w:val="0BAF10B2"/>
    <w:rsid w:val="0BBFB140"/>
    <w:rsid w:val="0BCC10A6"/>
    <w:rsid w:val="0BD0205D"/>
    <w:rsid w:val="0BD909EB"/>
    <w:rsid w:val="0BDAF924"/>
    <w:rsid w:val="0BE8EA2D"/>
    <w:rsid w:val="0BEF0E78"/>
    <w:rsid w:val="0BF53401"/>
    <w:rsid w:val="0BFFB6A9"/>
    <w:rsid w:val="0C02177E"/>
    <w:rsid w:val="0C02B39F"/>
    <w:rsid w:val="0C04A648"/>
    <w:rsid w:val="0C0A6AE7"/>
    <w:rsid w:val="0C136527"/>
    <w:rsid w:val="0C165516"/>
    <w:rsid w:val="0C1D3AEA"/>
    <w:rsid w:val="0C295F47"/>
    <w:rsid w:val="0C3EACEB"/>
    <w:rsid w:val="0C42DE77"/>
    <w:rsid w:val="0C50D6C5"/>
    <w:rsid w:val="0C5A712C"/>
    <w:rsid w:val="0C5B2E71"/>
    <w:rsid w:val="0C61FD50"/>
    <w:rsid w:val="0C6BB2F6"/>
    <w:rsid w:val="0C7F46D8"/>
    <w:rsid w:val="0C80CDAA"/>
    <w:rsid w:val="0C8F8AD2"/>
    <w:rsid w:val="0C933ABE"/>
    <w:rsid w:val="0C98E548"/>
    <w:rsid w:val="0CA75D71"/>
    <w:rsid w:val="0CABDFB3"/>
    <w:rsid w:val="0CB34433"/>
    <w:rsid w:val="0CC6066C"/>
    <w:rsid w:val="0CCA4B90"/>
    <w:rsid w:val="0CCAA57B"/>
    <w:rsid w:val="0CCC43CE"/>
    <w:rsid w:val="0CCD3CF6"/>
    <w:rsid w:val="0CD3E0A7"/>
    <w:rsid w:val="0CD8ED7F"/>
    <w:rsid w:val="0CE3320E"/>
    <w:rsid w:val="0CE50784"/>
    <w:rsid w:val="0CEE60BB"/>
    <w:rsid w:val="0CFF7FC1"/>
    <w:rsid w:val="0D100BFF"/>
    <w:rsid w:val="0D165C8A"/>
    <w:rsid w:val="0D1E173F"/>
    <w:rsid w:val="0D28993B"/>
    <w:rsid w:val="0D3DE375"/>
    <w:rsid w:val="0D3F9B66"/>
    <w:rsid w:val="0D43C7E5"/>
    <w:rsid w:val="0D4D4418"/>
    <w:rsid w:val="0D4DD748"/>
    <w:rsid w:val="0D5A0068"/>
    <w:rsid w:val="0D5C4C2B"/>
    <w:rsid w:val="0D5CE3A3"/>
    <w:rsid w:val="0D65970D"/>
    <w:rsid w:val="0D673A3B"/>
    <w:rsid w:val="0D6FC111"/>
    <w:rsid w:val="0D72F076"/>
    <w:rsid w:val="0D7B7479"/>
    <w:rsid w:val="0D831C89"/>
    <w:rsid w:val="0D86B209"/>
    <w:rsid w:val="0D8C28BC"/>
    <w:rsid w:val="0D8D3B24"/>
    <w:rsid w:val="0D94BF2D"/>
    <w:rsid w:val="0D9592BD"/>
    <w:rsid w:val="0D988DDB"/>
    <w:rsid w:val="0D9E128A"/>
    <w:rsid w:val="0DA25DCD"/>
    <w:rsid w:val="0DA416E3"/>
    <w:rsid w:val="0DB49FFD"/>
    <w:rsid w:val="0DB59C1C"/>
    <w:rsid w:val="0DBADDC4"/>
    <w:rsid w:val="0DBF9954"/>
    <w:rsid w:val="0DCB99DA"/>
    <w:rsid w:val="0DCC4BCB"/>
    <w:rsid w:val="0DCF3DB6"/>
    <w:rsid w:val="0DD95210"/>
    <w:rsid w:val="0DE06C6A"/>
    <w:rsid w:val="0DF21D4D"/>
    <w:rsid w:val="0DF9487F"/>
    <w:rsid w:val="0E0282F6"/>
    <w:rsid w:val="0E0B6A44"/>
    <w:rsid w:val="0E0BAC3D"/>
    <w:rsid w:val="0E0C30F4"/>
    <w:rsid w:val="0E10D0A4"/>
    <w:rsid w:val="0E130A25"/>
    <w:rsid w:val="0E145026"/>
    <w:rsid w:val="0E25934F"/>
    <w:rsid w:val="0E397671"/>
    <w:rsid w:val="0E40CC9A"/>
    <w:rsid w:val="0E45FAF1"/>
    <w:rsid w:val="0E5320E3"/>
    <w:rsid w:val="0E566572"/>
    <w:rsid w:val="0E5D283D"/>
    <w:rsid w:val="0E5F309C"/>
    <w:rsid w:val="0E6292D3"/>
    <w:rsid w:val="0E6817FC"/>
    <w:rsid w:val="0E6E587C"/>
    <w:rsid w:val="0E75093C"/>
    <w:rsid w:val="0E83C09E"/>
    <w:rsid w:val="0E8D4B58"/>
    <w:rsid w:val="0EA89EC4"/>
    <w:rsid w:val="0EABE8CF"/>
    <w:rsid w:val="0EB5F376"/>
    <w:rsid w:val="0EB65332"/>
    <w:rsid w:val="0EBC477F"/>
    <w:rsid w:val="0ED00E35"/>
    <w:rsid w:val="0ED9120F"/>
    <w:rsid w:val="0EF1ABD8"/>
    <w:rsid w:val="0EF62312"/>
    <w:rsid w:val="0F0ABDA7"/>
    <w:rsid w:val="0F121D37"/>
    <w:rsid w:val="0F1F12AD"/>
    <w:rsid w:val="0F2659E7"/>
    <w:rsid w:val="0F2C8B9D"/>
    <w:rsid w:val="0F2F8898"/>
    <w:rsid w:val="0F316016"/>
    <w:rsid w:val="0F368B7A"/>
    <w:rsid w:val="0F3828E2"/>
    <w:rsid w:val="0F4362DD"/>
    <w:rsid w:val="0F550611"/>
    <w:rsid w:val="0F60F8EF"/>
    <w:rsid w:val="0F63F67E"/>
    <w:rsid w:val="0F70AC2F"/>
    <w:rsid w:val="0F82EDAD"/>
    <w:rsid w:val="0F863BBC"/>
    <w:rsid w:val="0F90E85C"/>
    <w:rsid w:val="0F91055D"/>
    <w:rsid w:val="0F9362DE"/>
    <w:rsid w:val="0FA244C4"/>
    <w:rsid w:val="0FA8D9E2"/>
    <w:rsid w:val="0FAFCFA0"/>
    <w:rsid w:val="0FB0BE28"/>
    <w:rsid w:val="0FB76586"/>
    <w:rsid w:val="0FBDE5DE"/>
    <w:rsid w:val="0FC17520"/>
    <w:rsid w:val="0FC23783"/>
    <w:rsid w:val="0FE32C18"/>
    <w:rsid w:val="0FF0E408"/>
    <w:rsid w:val="0FFCCF29"/>
    <w:rsid w:val="10001A46"/>
    <w:rsid w:val="1000CAD2"/>
    <w:rsid w:val="1007D868"/>
    <w:rsid w:val="100F75FB"/>
    <w:rsid w:val="101813B3"/>
    <w:rsid w:val="102A737C"/>
    <w:rsid w:val="102DDCE5"/>
    <w:rsid w:val="10465C4C"/>
    <w:rsid w:val="104771E9"/>
    <w:rsid w:val="10581AB8"/>
    <w:rsid w:val="10802035"/>
    <w:rsid w:val="108868ED"/>
    <w:rsid w:val="10ABFD6C"/>
    <w:rsid w:val="10ACF164"/>
    <w:rsid w:val="10BFD9B2"/>
    <w:rsid w:val="10C900C8"/>
    <w:rsid w:val="10CC4996"/>
    <w:rsid w:val="10D12012"/>
    <w:rsid w:val="10D158FD"/>
    <w:rsid w:val="10D261AF"/>
    <w:rsid w:val="10DA2046"/>
    <w:rsid w:val="10E2C35E"/>
    <w:rsid w:val="10E2C9A0"/>
    <w:rsid w:val="10EEE344"/>
    <w:rsid w:val="10F9C017"/>
    <w:rsid w:val="1105FC6F"/>
    <w:rsid w:val="111096D7"/>
    <w:rsid w:val="11158248"/>
    <w:rsid w:val="111EA8A8"/>
    <w:rsid w:val="112DC2DA"/>
    <w:rsid w:val="1138401D"/>
    <w:rsid w:val="113D0B4B"/>
    <w:rsid w:val="113F2AF1"/>
    <w:rsid w:val="11449BFF"/>
    <w:rsid w:val="11465A17"/>
    <w:rsid w:val="114F3A98"/>
    <w:rsid w:val="114FF94E"/>
    <w:rsid w:val="115B4D43"/>
    <w:rsid w:val="115E16F5"/>
    <w:rsid w:val="11645944"/>
    <w:rsid w:val="1172CDE4"/>
    <w:rsid w:val="11731EB7"/>
    <w:rsid w:val="117787FF"/>
    <w:rsid w:val="118817F4"/>
    <w:rsid w:val="1197BCC2"/>
    <w:rsid w:val="119EC2F0"/>
    <w:rsid w:val="11A5F009"/>
    <w:rsid w:val="11A78A05"/>
    <w:rsid w:val="11AB8ABC"/>
    <w:rsid w:val="11B28EF2"/>
    <w:rsid w:val="11B4159F"/>
    <w:rsid w:val="11B9EFBA"/>
    <w:rsid w:val="11BCD02B"/>
    <w:rsid w:val="11C4BA44"/>
    <w:rsid w:val="11C5DF09"/>
    <w:rsid w:val="11CC0C9C"/>
    <w:rsid w:val="11D254B0"/>
    <w:rsid w:val="11D8A1C1"/>
    <w:rsid w:val="11D9BE59"/>
    <w:rsid w:val="11DA00F2"/>
    <w:rsid w:val="11DA19FD"/>
    <w:rsid w:val="11DAD297"/>
    <w:rsid w:val="11DD9BBC"/>
    <w:rsid w:val="11E38F67"/>
    <w:rsid w:val="11EEC26E"/>
    <w:rsid w:val="11F32877"/>
    <w:rsid w:val="11FE9E14"/>
    <w:rsid w:val="120B84A5"/>
    <w:rsid w:val="120CC444"/>
    <w:rsid w:val="1212836F"/>
    <w:rsid w:val="12234B41"/>
    <w:rsid w:val="122CC7FB"/>
    <w:rsid w:val="122E91CB"/>
    <w:rsid w:val="122F765C"/>
    <w:rsid w:val="124772AD"/>
    <w:rsid w:val="12511FD3"/>
    <w:rsid w:val="12561631"/>
    <w:rsid w:val="1256C414"/>
    <w:rsid w:val="125DC910"/>
    <w:rsid w:val="126DC3D1"/>
    <w:rsid w:val="126E250E"/>
    <w:rsid w:val="126E3517"/>
    <w:rsid w:val="12708A60"/>
    <w:rsid w:val="12806334"/>
    <w:rsid w:val="128A1F36"/>
    <w:rsid w:val="1293A92F"/>
    <w:rsid w:val="129AF424"/>
    <w:rsid w:val="12A59938"/>
    <w:rsid w:val="12B7F81B"/>
    <w:rsid w:val="12BE70B9"/>
    <w:rsid w:val="12C1A7A9"/>
    <w:rsid w:val="12C58E70"/>
    <w:rsid w:val="12DD2750"/>
    <w:rsid w:val="12E7799C"/>
    <w:rsid w:val="12F2F6EA"/>
    <w:rsid w:val="12F69DD0"/>
    <w:rsid w:val="12FCF6C4"/>
    <w:rsid w:val="1300E185"/>
    <w:rsid w:val="130A260E"/>
    <w:rsid w:val="130F21A9"/>
    <w:rsid w:val="131A3562"/>
    <w:rsid w:val="1339A10E"/>
    <w:rsid w:val="1349890D"/>
    <w:rsid w:val="134BD71D"/>
    <w:rsid w:val="134D4E34"/>
    <w:rsid w:val="13567BC9"/>
    <w:rsid w:val="136DE9A4"/>
    <w:rsid w:val="13712E04"/>
    <w:rsid w:val="13761C34"/>
    <w:rsid w:val="1379DE01"/>
    <w:rsid w:val="137BA9A4"/>
    <w:rsid w:val="137EE933"/>
    <w:rsid w:val="13818A50"/>
    <w:rsid w:val="13895894"/>
    <w:rsid w:val="1393ACE0"/>
    <w:rsid w:val="139432BB"/>
    <w:rsid w:val="139BF774"/>
    <w:rsid w:val="139CF17B"/>
    <w:rsid w:val="139E8FD7"/>
    <w:rsid w:val="13AE9AD8"/>
    <w:rsid w:val="13B08CEE"/>
    <w:rsid w:val="13B6953E"/>
    <w:rsid w:val="13CAAE24"/>
    <w:rsid w:val="13D0136A"/>
    <w:rsid w:val="13D8A8A6"/>
    <w:rsid w:val="13D8BDB9"/>
    <w:rsid w:val="13E7B791"/>
    <w:rsid w:val="13EC2219"/>
    <w:rsid w:val="140CDB5B"/>
    <w:rsid w:val="1410AAF6"/>
    <w:rsid w:val="14144F71"/>
    <w:rsid w:val="141D90C9"/>
    <w:rsid w:val="1421EDCD"/>
    <w:rsid w:val="14235973"/>
    <w:rsid w:val="142C42B7"/>
    <w:rsid w:val="142C7BAF"/>
    <w:rsid w:val="144731C2"/>
    <w:rsid w:val="144E3D60"/>
    <w:rsid w:val="145504AE"/>
    <w:rsid w:val="145C7AE8"/>
    <w:rsid w:val="14602209"/>
    <w:rsid w:val="1460CB73"/>
    <w:rsid w:val="146A5139"/>
    <w:rsid w:val="146F3BFC"/>
    <w:rsid w:val="146F6435"/>
    <w:rsid w:val="147A2A4F"/>
    <w:rsid w:val="147F8846"/>
    <w:rsid w:val="148217D5"/>
    <w:rsid w:val="14976989"/>
    <w:rsid w:val="14984EAE"/>
    <w:rsid w:val="149907B8"/>
    <w:rsid w:val="149BA301"/>
    <w:rsid w:val="14AB0EDC"/>
    <w:rsid w:val="14ABF56B"/>
    <w:rsid w:val="14D08276"/>
    <w:rsid w:val="14D1C521"/>
    <w:rsid w:val="14DA1C7B"/>
    <w:rsid w:val="14E10B47"/>
    <w:rsid w:val="14E8C5BC"/>
    <w:rsid w:val="14EA033E"/>
    <w:rsid w:val="14EF1418"/>
    <w:rsid w:val="14FBC38E"/>
    <w:rsid w:val="14FBF912"/>
    <w:rsid w:val="1502E860"/>
    <w:rsid w:val="151999F8"/>
    <w:rsid w:val="1524C197"/>
    <w:rsid w:val="1533C5B8"/>
    <w:rsid w:val="1533D836"/>
    <w:rsid w:val="1536AE16"/>
    <w:rsid w:val="1537A55D"/>
    <w:rsid w:val="1541DC61"/>
    <w:rsid w:val="1560A44B"/>
    <w:rsid w:val="1561E54B"/>
    <w:rsid w:val="15828CB0"/>
    <w:rsid w:val="1582E561"/>
    <w:rsid w:val="158B04AF"/>
    <w:rsid w:val="159AD3BC"/>
    <w:rsid w:val="15B41149"/>
    <w:rsid w:val="15BA36D2"/>
    <w:rsid w:val="15BB20B9"/>
    <w:rsid w:val="15C06F5C"/>
    <w:rsid w:val="15C5A956"/>
    <w:rsid w:val="15C6EA4F"/>
    <w:rsid w:val="15C7E769"/>
    <w:rsid w:val="15C85B64"/>
    <w:rsid w:val="15DA5296"/>
    <w:rsid w:val="15DBECF2"/>
    <w:rsid w:val="15E01768"/>
    <w:rsid w:val="15E2228F"/>
    <w:rsid w:val="15E609F3"/>
    <w:rsid w:val="15EE2655"/>
    <w:rsid w:val="15EE62FB"/>
    <w:rsid w:val="15F1E2CA"/>
    <w:rsid w:val="15F244A3"/>
    <w:rsid w:val="15F2E834"/>
    <w:rsid w:val="15FC2C94"/>
    <w:rsid w:val="160F5A41"/>
    <w:rsid w:val="1615D5F5"/>
    <w:rsid w:val="16192B10"/>
    <w:rsid w:val="161D8187"/>
    <w:rsid w:val="1622B494"/>
    <w:rsid w:val="16246EB5"/>
    <w:rsid w:val="16367EA6"/>
    <w:rsid w:val="1638DF32"/>
    <w:rsid w:val="163D9DCA"/>
    <w:rsid w:val="1648BAA9"/>
    <w:rsid w:val="164FF33C"/>
    <w:rsid w:val="1655C5C3"/>
    <w:rsid w:val="1661B736"/>
    <w:rsid w:val="16637330"/>
    <w:rsid w:val="1665B950"/>
    <w:rsid w:val="167380AC"/>
    <w:rsid w:val="167AADF8"/>
    <w:rsid w:val="167F46C4"/>
    <w:rsid w:val="16895919"/>
    <w:rsid w:val="168AD809"/>
    <w:rsid w:val="168B6E09"/>
    <w:rsid w:val="168F77EE"/>
    <w:rsid w:val="1693D98D"/>
    <w:rsid w:val="169963CA"/>
    <w:rsid w:val="169F0987"/>
    <w:rsid w:val="16A4AD0E"/>
    <w:rsid w:val="16A6EB4C"/>
    <w:rsid w:val="16B2B2B1"/>
    <w:rsid w:val="16B2C6C4"/>
    <w:rsid w:val="16B41EAC"/>
    <w:rsid w:val="16B5833E"/>
    <w:rsid w:val="16B7E90A"/>
    <w:rsid w:val="16BAABAD"/>
    <w:rsid w:val="16BB44BA"/>
    <w:rsid w:val="16BF7BC5"/>
    <w:rsid w:val="16CE48E7"/>
    <w:rsid w:val="16D63499"/>
    <w:rsid w:val="16DF3424"/>
    <w:rsid w:val="16E67314"/>
    <w:rsid w:val="16F81020"/>
    <w:rsid w:val="16FD6E8A"/>
    <w:rsid w:val="1712F0BA"/>
    <w:rsid w:val="171486DC"/>
    <w:rsid w:val="17200E77"/>
    <w:rsid w:val="1732BD73"/>
    <w:rsid w:val="173404E5"/>
    <w:rsid w:val="17358ACF"/>
    <w:rsid w:val="17392CE6"/>
    <w:rsid w:val="1762157E"/>
    <w:rsid w:val="176472B7"/>
    <w:rsid w:val="176E37E2"/>
    <w:rsid w:val="17745D01"/>
    <w:rsid w:val="17784273"/>
    <w:rsid w:val="177952CE"/>
    <w:rsid w:val="1785C31B"/>
    <w:rsid w:val="178D5554"/>
    <w:rsid w:val="17951883"/>
    <w:rsid w:val="17970213"/>
    <w:rsid w:val="179B4C74"/>
    <w:rsid w:val="17A127B2"/>
    <w:rsid w:val="17A911CB"/>
    <w:rsid w:val="17B392F1"/>
    <w:rsid w:val="17C322CD"/>
    <w:rsid w:val="17CED8E2"/>
    <w:rsid w:val="17DAA546"/>
    <w:rsid w:val="17DAF834"/>
    <w:rsid w:val="17E22CA2"/>
    <w:rsid w:val="17E93935"/>
    <w:rsid w:val="17F08451"/>
    <w:rsid w:val="17F3BABB"/>
    <w:rsid w:val="18052B3D"/>
    <w:rsid w:val="1809FED0"/>
    <w:rsid w:val="180A9820"/>
    <w:rsid w:val="180F3967"/>
    <w:rsid w:val="1815DEAA"/>
    <w:rsid w:val="18241B66"/>
    <w:rsid w:val="1827AF17"/>
    <w:rsid w:val="18282813"/>
    <w:rsid w:val="184C5F48"/>
    <w:rsid w:val="184D2C0C"/>
    <w:rsid w:val="1851E020"/>
    <w:rsid w:val="185E7852"/>
    <w:rsid w:val="185F6748"/>
    <w:rsid w:val="185FCDC7"/>
    <w:rsid w:val="18789F5A"/>
    <w:rsid w:val="1882CE7D"/>
    <w:rsid w:val="1891DE45"/>
    <w:rsid w:val="1895C85B"/>
    <w:rsid w:val="189A38C2"/>
    <w:rsid w:val="18A1092A"/>
    <w:rsid w:val="18A8E12C"/>
    <w:rsid w:val="18AC7530"/>
    <w:rsid w:val="18B007D3"/>
    <w:rsid w:val="18C14D42"/>
    <w:rsid w:val="18C69200"/>
    <w:rsid w:val="18D37B35"/>
    <w:rsid w:val="18E41E94"/>
    <w:rsid w:val="18E8284E"/>
    <w:rsid w:val="18EB78EF"/>
    <w:rsid w:val="190139CB"/>
    <w:rsid w:val="193078D1"/>
    <w:rsid w:val="1931424A"/>
    <w:rsid w:val="193ACD04"/>
    <w:rsid w:val="193B32A6"/>
    <w:rsid w:val="19417A2B"/>
    <w:rsid w:val="194C9F53"/>
    <w:rsid w:val="195F8055"/>
    <w:rsid w:val="19697AC4"/>
    <w:rsid w:val="196DA63F"/>
    <w:rsid w:val="1987A00A"/>
    <w:rsid w:val="1989DB90"/>
    <w:rsid w:val="198B4EE7"/>
    <w:rsid w:val="19914631"/>
    <w:rsid w:val="1994E3D1"/>
    <w:rsid w:val="19B1D2CF"/>
    <w:rsid w:val="19B40E5E"/>
    <w:rsid w:val="19C9803F"/>
    <w:rsid w:val="19D0EA35"/>
    <w:rsid w:val="19E112A4"/>
    <w:rsid w:val="19E249DF"/>
    <w:rsid w:val="19E36A4C"/>
    <w:rsid w:val="1A00C66D"/>
    <w:rsid w:val="1A025AE6"/>
    <w:rsid w:val="1A07E738"/>
    <w:rsid w:val="1A13C5FE"/>
    <w:rsid w:val="1A225E54"/>
    <w:rsid w:val="1A2BBF6B"/>
    <w:rsid w:val="1A359E04"/>
    <w:rsid w:val="1A377A3A"/>
    <w:rsid w:val="1A3EFE13"/>
    <w:rsid w:val="1A44E7C8"/>
    <w:rsid w:val="1A4A13C5"/>
    <w:rsid w:val="1A4DEDB6"/>
    <w:rsid w:val="1A4E75EF"/>
    <w:rsid w:val="1A5388EB"/>
    <w:rsid w:val="1A59228F"/>
    <w:rsid w:val="1A59EF4A"/>
    <w:rsid w:val="1A5A7066"/>
    <w:rsid w:val="1A60D8DF"/>
    <w:rsid w:val="1A62F31B"/>
    <w:rsid w:val="1A6C293A"/>
    <w:rsid w:val="1A763C6E"/>
    <w:rsid w:val="1A801D2B"/>
    <w:rsid w:val="1A86D4F9"/>
    <w:rsid w:val="1A8A2515"/>
    <w:rsid w:val="1A8F441A"/>
    <w:rsid w:val="1A94F9B5"/>
    <w:rsid w:val="1A9B7695"/>
    <w:rsid w:val="1A9FDEEB"/>
    <w:rsid w:val="1AA4C4E1"/>
    <w:rsid w:val="1AA865D1"/>
    <w:rsid w:val="1AA895BF"/>
    <w:rsid w:val="1AB31FFB"/>
    <w:rsid w:val="1ABA4265"/>
    <w:rsid w:val="1AC3CCCB"/>
    <w:rsid w:val="1AE516B0"/>
    <w:rsid w:val="1AEA32AF"/>
    <w:rsid w:val="1AEB60A0"/>
    <w:rsid w:val="1AF16190"/>
    <w:rsid w:val="1AF3A9CE"/>
    <w:rsid w:val="1AF5E447"/>
    <w:rsid w:val="1AFB3E22"/>
    <w:rsid w:val="1B147F7A"/>
    <w:rsid w:val="1B166BBB"/>
    <w:rsid w:val="1B2A80A4"/>
    <w:rsid w:val="1B2AEF2A"/>
    <w:rsid w:val="1B3C8C74"/>
    <w:rsid w:val="1B472877"/>
    <w:rsid w:val="1B47542E"/>
    <w:rsid w:val="1B51F592"/>
    <w:rsid w:val="1B528E1A"/>
    <w:rsid w:val="1B618F12"/>
    <w:rsid w:val="1B6A94EA"/>
    <w:rsid w:val="1B71EC7B"/>
    <w:rsid w:val="1B83D16F"/>
    <w:rsid w:val="1B887FE0"/>
    <w:rsid w:val="1B976D48"/>
    <w:rsid w:val="1B9850E6"/>
    <w:rsid w:val="1B98707B"/>
    <w:rsid w:val="1BBDCAA1"/>
    <w:rsid w:val="1BC20982"/>
    <w:rsid w:val="1BCA3D46"/>
    <w:rsid w:val="1BCCEE70"/>
    <w:rsid w:val="1BD3172C"/>
    <w:rsid w:val="1BE2491A"/>
    <w:rsid w:val="1BE2DCB3"/>
    <w:rsid w:val="1BE43C5E"/>
    <w:rsid w:val="1BE7DDD8"/>
    <w:rsid w:val="1BED9CE2"/>
    <w:rsid w:val="1BEE3FFE"/>
    <w:rsid w:val="1BEFA02D"/>
    <w:rsid w:val="1BFEA855"/>
    <w:rsid w:val="1C02A0F7"/>
    <w:rsid w:val="1C0367D6"/>
    <w:rsid w:val="1C0DE781"/>
    <w:rsid w:val="1C130E89"/>
    <w:rsid w:val="1C16C06B"/>
    <w:rsid w:val="1C186652"/>
    <w:rsid w:val="1C19C718"/>
    <w:rsid w:val="1C247A1F"/>
    <w:rsid w:val="1C27B0B2"/>
    <w:rsid w:val="1C28640D"/>
    <w:rsid w:val="1C29828A"/>
    <w:rsid w:val="1C2D471C"/>
    <w:rsid w:val="1C2D5FCF"/>
    <w:rsid w:val="1C2FD14A"/>
    <w:rsid w:val="1C3EA32C"/>
    <w:rsid w:val="1C430AC6"/>
    <w:rsid w:val="1C48BE40"/>
    <w:rsid w:val="1C52DAE1"/>
    <w:rsid w:val="1C551784"/>
    <w:rsid w:val="1C56221A"/>
    <w:rsid w:val="1C5FB56C"/>
    <w:rsid w:val="1C607A2E"/>
    <w:rsid w:val="1C684A56"/>
    <w:rsid w:val="1C7CD55D"/>
    <w:rsid w:val="1C7F1810"/>
    <w:rsid w:val="1C8129D2"/>
    <w:rsid w:val="1C8344FB"/>
    <w:rsid w:val="1C8C9B74"/>
    <w:rsid w:val="1C8E866B"/>
    <w:rsid w:val="1CA90171"/>
    <w:rsid w:val="1CA91F5D"/>
    <w:rsid w:val="1CAD0FB2"/>
    <w:rsid w:val="1CBB7B92"/>
    <w:rsid w:val="1CC0D1EB"/>
    <w:rsid w:val="1CD3D0C6"/>
    <w:rsid w:val="1CD61B4D"/>
    <w:rsid w:val="1CF116A6"/>
    <w:rsid w:val="1CFE3E1C"/>
    <w:rsid w:val="1D05DAE9"/>
    <w:rsid w:val="1D1474E4"/>
    <w:rsid w:val="1D2EA59D"/>
    <w:rsid w:val="1D333B7D"/>
    <w:rsid w:val="1D396430"/>
    <w:rsid w:val="1D437DA2"/>
    <w:rsid w:val="1D5680E0"/>
    <w:rsid w:val="1D5D3F76"/>
    <w:rsid w:val="1D5F4DC9"/>
    <w:rsid w:val="1D637F88"/>
    <w:rsid w:val="1D67C5FA"/>
    <w:rsid w:val="1D704853"/>
    <w:rsid w:val="1D7A2554"/>
    <w:rsid w:val="1D7D2B29"/>
    <w:rsid w:val="1D90D506"/>
    <w:rsid w:val="1D93610C"/>
    <w:rsid w:val="1D985D62"/>
    <w:rsid w:val="1D9AA81A"/>
    <w:rsid w:val="1D9F0A65"/>
    <w:rsid w:val="1DA67009"/>
    <w:rsid w:val="1DA852B0"/>
    <w:rsid w:val="1DAC1F1E"/>
    <w:rsid w:val="1DC44E2D"/>
    <w:rsid w:val="1DC48CD4"/>
    <w:rsid w:val="1DC4B21F"/>
    <w:rsid w:val="1DC692B8"/>
    <w:rsid w:val="1DCAD0D0"/>
    <w:rsid w:val="1DCC8B92"/>
    <w:rsid w:val="1DCFFD35"/>
    <w:rsid w:val="1DDF9F09"/>
    <w:rsid w:val="1DDFDD7E"/>
    <w:rsid w:val="1DDFDE07"/>
    <w:rsid w:val="1DE16660"/>
    <w:rsid w:val="1DE32139"/>
    <w:rsid w:val="1DE7BE65"/>
    <w:rsid w:val="1DEB1D13"/>
    <w:rsid w:val="1DEDC2FB"/>
    <w:rsid w:val="1DEDC654"/>
    <w:rsid w:val="1DF3C76D"/>
    <w:rsid w:val="1DF9CFE6"/>
    <w:rsid w:val="1DFEFB8E"/>
    <w:rsid w:val="1E2448E8"/>
    <w:rsid w:val="1E2621EF"/>
    <w:rsid w:val="1E2C60BA"/>
    <w:rsid w:val="1E31A2B8"/>
    <w:rsid w:val="1E3930ED"/>
    <w:rsid w:val="1E3F18A4"/>
    <w:rsid w:val="1E56AC41"/>
    <w:rsid w:val="1E571AB5"/>
    <w:rsid w:val="1E5B9E97"/>
    <w:rsid w:val="1E5C2D91"/>
    <w:rsid w:val="1E5EB44F"/>
    <w:rsid w:val="1E622166"/>
    <w:rsid w:val="1E686BFC"/>
    <w:rsid w:val="1E79C333"/>
    <w:rsid w:val="1E7C5593"/>
    <w:rsid w:val="1E8A833A"/>
    <w:rsid w:val="1E8B2C74"/>
    <w:rsid w:val="1E8D6A93"/>
    <w:rsid w:val="1EA20FF1"/>
    <w:rsid w:val="1EA8043E"/>
    <w:rsid w:val="1EA90C67"/>
    <w:rsid w:val="1EADA02B"/>
    <w:rsid w:val="1EB468A1"/>
    <w:rsid w:val="1EBD4B3A"/>
    <w:rsid w:val="1EC87716"/>
    <w:rsid w:val="1EC8C6EF"/>
    <w:rsid w:val="1ECA6054"/>
    <w:rsid w:val="1ECC53C5"/>
    <w:rsid w:val="1ED25AD7"/>
    <w:rsid w:val="1ED41C79"/>
    <w:rsid w:val="1EDA42E0"/>
    <w:rsid w:val="1EE12417"/>
    <w:rsid w:val="1EF57A31"/>
    <w:rsid w:val="1EF68DE3"/>
    <w:rsid w:val="1F018B04"/>
    <w:rsid w:val="1F185581"/>
    <w:rsid w:val="1F23332E"/>
    <w:rsid w:val="1F2412B3"/>
    <w:rsid w:val="1F2F49E9"/>
    <w:rsid w:val="1F3666F9"/>
    <w:rsid w:val="1F3F6E4D"/>
    <w:rsid w:val="1F4CD079"/>
    <w:rsid w:val="1F53FEF8"/>
    <w:rsid w:val="1F5DA7EE"/>
    <w:rsid w:val="1F668A6C"/>
    <w:rsid w:val="1F670D65"/>
    <w:rsid w:val="1F6D358F"/>
    <w:rsid w:val="1F70E2A5"/>
    <w:rsid w:val="1F712A6B"/>
    <w:rsid w:val="1F80365C"/>
    <w:rsid w:val="1F84E689"/>
    <w:rsid w:val="1F87D54B"/>
    <w:rsid w:val="1F9199D9"/>
    <w:rsid w:val="1F9503DE"/>
    <w:rsid w:val="1F95674D"/>
    <w:rsid w:val="1F9E01C8"/>
    <w:rsid w:val="1F9E69AF"/>
    <w:rsid w:val="1FA715C8"/>
    <w:rsid w:val="1FA76C65"/>
    <w:rsid w:val="1FA82D3E"/>
    <w:rsid w:val="1FB5231C"/>
    <w:rsid w:val="1FBE1386"/>
    <w:rsid w:val="1FC792BB"/>
    <w:rsid w:val="1FC893BA"/>
    <w:rsid w:val="1FE629D9"/>
    <w:rsid w:val="1FE94C25"/>
    <w:rsid w:val="1FEB2FC9"/>
    <w:rsid w:val="1FF3C671"/>
    <w:rsid w:val="1FFBF21D"/>
    <w:rsid w:val="20107C94"/>
    <w:rsid w:val="201623A2"/>
    <w:rsid w:val="201A4F95"/>
    <w:rsid w:val="201D9690"/>
    <w:rsid w:val="2025DC4D"/>
    <w:rsid w:val="202FF536"/>
    <w:rsid w:val="204577BA"/>
    <w:rsid w:val="204851FB"/>
    <w:rsid w:val="204AEBAF"/>
    <w:rsid w:val="205779C6"/>
    <w:rsid w:val="205CE92F"/>
    <w:rsid w:val="2064540E"/>
    <w:rsid w:val="206A44C7"/>
    <w:rsid w:val="206DE203"/>
    <w:rsid w:val="2070B666"/>
    <w:rsid w:val="207226A8"/>
    <w:rsid w:val="207EF408"/>
    <w:rsid w:val="2082D2AC"/>
    <w:rsid w:val="2089C793"/>
    <w:rsid w:val="208CBA75"/>
    <w:rsid w:val="2091754B"/>
    <w:rsid w:val="20951225"/>
    <w:rsid w:val="20A4E6B3"/>
    <w:rsid w:val="20ACAD4B"/>
    <w:rsid w:val="20B44064"/>
    <w:rsid w:val="20BCE9C2"/>
    <w:rsid w:val="20BCFD8C"/>
    <w:rsid w:val="20CB4350"/>
    <w:rsid w:val="20CDD825"/>
    <w:rsid w:val="20D0E183"/>
    <w:rsid w:val="20DE6FEB"/>
    <w:rsid w:val="20E41CC0"/>
    <w:rsid w:val="20E5F699"/>
    <w:rsid w:val="20E69EB4"/>
    <w:rsid w:val="20F30D5B"/>
    <w:rsid w:val="20FE3076"/>
    <w:rsid w:val="210D672F"/>
    <w:rsid w:val="211A4BE8"/>
    <w:rsid w:val="212292F4"/>
    <w:rsid w:val="214573B8"/>
    <w:rsid w:val="21469297"/>
    <w:rsid w:val="214B23B2"/>
    <w:rsid w:val="21539B19"/>
    <w:rsid w:val="2155527B"/>
    <w:rsid w:val="215AA029"/>
    <w:rsid w:val="216F6046"/>
    <w:rsid w:val="2173F453"/>
    <w:rsid w:val="21749EC0"/>
    <w:rsid w:val="21850234"/>
    <w:rsid w:val="218776A4"/>
    <w:rsid w:val="2189670D"/>
    <w:rsid w:val="218F27F5"/>
    <w:rsid w:val="2190743D"/>
    <w:rsid w:val="21989BCE"/>
    <w:rsid w:val="21A1D698"/>
    <w:rsid w:val="21A8D646"/>
    <w:rsid w:val="21B9741E"/>
    <w:rsid w:val="21B99CA6"/>
    <w:rsid w:val="21BD222A"/>
    <w:rsid w:val="21C624F9"/>
    <w:rsid w:val="21C77A9A"/>
    <w:rsid w:val="21C82576"/>
    <w:rsid w:val="21CC4516"/>
    <w:rsid w:val="21CDFBC7"/>
    <w:rsid w:val="21D506C4"/>
    <w:rsid w:val="21DF568C"/>
    <w:rsid w:val="21F94923"/>
    <w:rsid w:val="21FDB8B9"/>
    <w:rsid w:val="21FF24BC"/>
    <w:rsid w:val="220A9740"/>
    <w:rsid w:val="220E1FF0"/>
    <w:rsid w:val="220FF256"/>
    <w:rsid w:val="22105247"/>
    <w:rsid w:val="22178E74"/>
    <w:rsid w:val="222C4737"/>
    <w:rsid w:val="222C7DE2"/>
    <w:rsid w:val="223ADBB6"/>
    <w:rsid w:val="223CBD81"/>
    <w:rsid w:val="2241449A"/>
    <w:rsid w:val="2242DE70"/>
    <w:rsid w:val="22459204"/>
    <w:rsid w:val="22608254"/>
    <w:rsid w:val="2266AB39"/>
    <w:rsid w:val="226F03A7"/>
    <w:rsid w:val="2283C15E"/>
    <w:rsid w:val="22870B32"/>
    <w:rsid w:val="228DDB64"/>
    <w:rsid w:val="22A281D3"/>
    <w:rsid w:val="22A9A460"/>
    <w:rsid w:val="22AB2943"/>
    <w:rsid w:val="22B11B5B"/>
    <w:rsid w:val="22B61389"/>
    <w:rsid w:val="22CC5854"/>
    <w:rsid w:val="22D010D3"/>
    <w:rsid w:val="22D0C053"/>
    <w:rsid w:val="22D12821"/>
    <w:rsid w:val="22DBC381"/>
    <w:rsid w:val="22EA62B1"/>
    <w:rsid w:val="22FFF53B"/>
    <w:rsid w:val="23049532"/>
    <w:rsid w:val="23064D95"/>
    <w:rsid w:val="2307191A"/>
    <w:rsid w:val="23133329"/>
    <w:rsid w:val="2317C5D5"/>
    <w:rsid w:val="231FE6C6"/>
    <w:rsid w:val="23241967"/>
    <w:rsid w:val="232B6733"/>
    <w:rsid w:val="232D6162"/>
    <w:rsid w:val="232F4434"/>
    <w:rsid w:val="233AF6EA"/>
    <w:rsid w:val="23419D35"/>
    <w:rsid w:val="2344D388"/>
    <w:rsid w:val="23495950"/>
    <w:rsid w:val="234EFB8A"/>
    <w:rsid w:val="23555388"/>
    <w:rsid w:val="2357FBE5"/>
    <w:rsid w:val="23619CE7"/>
    <w:rsid w:val="23660DE0"/>
    <w:rsid w:val="2371A65F"/>
    <w:rsid w:val="2374212B"/>
    <w:rsid w:val="237A3991"/>
    <w:rsid w:val="237C6B3E"/>
    <w:rsid w:val="237F5B45"/>
    <w:rsid w:val="239E86E6"/>
    <w:rsid w:val="23A318F7"/>
    <w:rsid w:val="23A40DE7"/>
    <w:rsid w:val="23AB9DE8"/>
    <w:rsid w:val="23BE1D7B"/>
    <w:rsid w:val="23D62F1B"/>
    <w:rsid w:val="23E38CE7"/>
    <w:rsid w:val="23E6960C"/>
    <w:rsid w:val="23E9773B"/>
    <w:rsid w:val="23F6BDFD"/>
    <w:rsid w:val="23F7A9B6"/>
    <w:rsid w:val="23F8E52C"/>
    <w:rsid w:val="2413131E"/>
    <w:rsid w:val="24141DB4"/>
    <w:rsid w:val="241870EE"/>
    <w:rsid w:val="2419E533"/>
    <w:rsid w:val="24296954"/>
    <w:rsid w:val="2430079D"/>
    <w:rsid w:val="24300893"/>
    <w:rsid w:val="243F1919"/>
    <w:rsid w:val="2457F048"/>
    <w:rsid w:val="2469BC1F"/>
    <w:rsid w:val="246AE755"/>
    <w:rsid w:val="246FB3E3"/>
    <w:rsid w:val="2488E44E"/>
    <w:rsid w:val="249B065D"/>
    <w:rsid w:val="24A1BEBB"/>
    <w:rsid w:val="24B65957"/>
    <w:rsid w:val="24BB3637"/>
    <w:rsid w:val="24C0D14E"/>
    <w:rsid w:val="24D02B1D"/>
    <w:rsid w:val="24D62926"/>
    <w:rsid w:val="24D885BD"/>
    <w:rsid w:val="24E4BA99"/>
    <w:rsid w:val="24EB65D4"/>
    <w:rsid w:val="24EC7543"/>
    <w:rsid w:val="24EEB687"/>
    <w:rsid w:val="24F091C1"/>
    <w:rsid w:val="24FD3B3C"/>
    <w:rsid w:val="24FD6F52"/>
    <w:rsid w:val="2503C9B1"/>
    <w:rsid w:val="25069A67"/>
    <w:rsid w:val="250AAB4D"/>
    <w:rsid w:val="2521F33F"/>
    <w:rsid w:val="2522FD63"/>
    <w:rsid w:val="2525269A"/>
    <w:rsid w:val="253652F5"/>
    <w:rsid w:val="253BAFAA"/>
    <w:rsid w:val="253E4337"/>
    <w:rsid w:val="254188DB"/>
    <w:rsid w:val="25515A45"/>
    <w:rsid w:val="255382F0"/>
    <w:rsid w:val="2558A3B4"/>
    <w:rsid w:val="25597369"/>
    <w:rsid w:val="255E021E"/>
    <w:rsid w:val="25658CFC"/>
    <w:rsid w:val="25670BA7"/>
    <w:rsid w:val="256D75F3"/>
    <w:rsid w:val="25709C54"/>
    <w:rsid w:val="25759572"/>
    <w:rsid w:val="258045F6"/>
    <w:rsid w:val="2584A3EF"/>
    <w:rsid w:val="2586AE42"/>
    <w:rsid w:val="258FDDCA"/>
    <w:rsid w:val="2591CCCD"/>
    <w:rsid w:val="2592D959"/>
    <w:rsid w:val="25967AD3"/>
    <w:rsid w:val="259AA646"/>
    <w:rsid w:val="259FA414"/>
    <w:rsid w:val="25A76337"/>
    <w:rsid w:val="25A825E4"/>
    <w:rsid w:val="25A9202B"/>
    <w:rsid w:val="25C400C1"/>
    <w:rsid w:val="25C4E141"/>
    <w:rsid w:val="25C7A3C8"/>
    <w:rsid w:val="25CEA0DC"/>
    <w:rsid w:val="25DA8B90"/>
    <w:rsid w:val="25E30560"/>
    <w:rsid w:val="25F33F37"/>
    <w:rsid w:val="25FC2DBD"/>
    <w:rsid w:val="26061087"/>
    <w:rsid w:val="26112F4A"/>
    <w:rsid w:val="26115ED8"/>
    <w:rsid w:val="261716F8"/>
    <w:rsid w:val="261BC2C9"/>
    <w:rsid w:val="2633C088"/>
    <w:rsid w:val="263E5C5A"/>
    <w:rsid w:val="26542250"/>
    <w:rsid w:val="2656F010"/>
    <w:rsid w:val="26652F07"/>
    <w:rsid w:val="266E53DD"/>
    <w:rsid w:val="267349AA"/>
    <w:rsid w:val="2687EA1A"/>
    <w:rsid w:val="268D0DC9"/>
    <w:rsid w:val="268FFBE9"/>
    <w:rsid w:val="269DAAD7"/>
    <w:rsid w:val="26ADD102"/>
    <w:rsid w:val="26C2FA43"/>
    <w:rsid w:val="26C4DC66"/>
    <w:rsid w:val="26C6141F"/>
    <w:rsid w:val="26C9836E"/>
    <w:rsid w:val="26CC3D85"/>
    <w:rsid w:val="26D0C780"/>
    <w:rsid w:val="26D1AAA9"/>
    <w:rsid w:val="26D276BA"/>
    <w:rsid w:val="26D8354F"/>
    <w:rsid w:val="26D92339"/>
    <w:rsid w:val="26E17F75"/>
    <w:rsid w:val="26E84093"/>
    <w:rsid w:val="26E8C895"/>
    <w:rsid w:val="26F4364D"/>
    <w:rsid w:val="26F5EC12"/>
    <w:rsid w:val="26F81610"/>
    <w:rsid w:val="26F91FFA"/>
    <w:rsid w:val="26F9CFD5"/>
    <w:rsid w:val="2708052C"/>
    <w:rsid w:val="2708657A"/>
    <w:rsid w:val="270ADAD4"/>
    <w:rsid w:val="2713C390"/>
    <w:rsid w:val="27204F46"/>
    <w:rsid w:val="2726E5FF"/>
    <w:rsid w:val="272B5585"/>
    <w:rsid w:val="272C96A7"/>
    <w:rsid w:val="273085EE"/>
    <w:rsid w:val="2730A224"/>
    <w:rsid w:val="27322873"/>
    <w:rsid w:val="273E3295"/>
    <w:rsid w:val="2746C259"/>
    <w:rsid w:val="274C5364"/>
    <w:rsid w:val="275905BA"/>
    <w:rsid w:val="276D8F51"/>
    <w:rsid w:val="2771E90F"/>
    <w:rsid w:val="2772AC97"/>
    <w:rsid w:val="277320D5"/>
    <w:rsid w:val="27786B82"/>
    <w:rsid w:val="278B7C90"/>
    <w:rsid w:val="278EFCBC"/>
    <w:rsid w:val="2791D5DE"/>
    <w:rsid w:val="279EAE27"/>
    <w:rsid w:val="27A9964D"/>
    <w:rsid w:val="27BE8954"/>
    <w:rsid w:val="27C493FF"/>
    <w:rsid w:val="27D10D50"/>
    <w:rsid w:val="27E51F12"/>
    <w:rsid w:val="27EBCDD4"/>
    <w:rsid w:val="27F0EDDC"/>
    <w:rsid w:val="2804FD58"/>
    <w:rsid w:val="280F4AC8"/>
    <w:rsid w:val="281B90EB"/>
    <w:rsid w:val="281BF9C5"/>
    <w:rsid w:val="2827636D"/>
    <w:rsid w:val="282D092B"/>
    <w:rsid w:val="2840636D"/>
    <w:rsid w:val="285A912F"/>
    <w:rsid w:val="285C62B5"/>
    <w:rsid w:val="285D216B"/>
    <w:rsid w:val="285E167D"/>
    <w:rsid w:val="28763BC6"/>
    <w:rsid w:val="287EA88C"/>
    <w:rsid w:val="288AF952"/>
    <w:rsid w:val="2895C718"/>
    <w:rsid w:val="28A0FF0C"/>
    <w:rsid w:val="28A42A03"/>
    <w:rsid w:val="28A5A21C"/>
    <w:rsid w:val="28A5EAA0"/>
    <w:rsid w:val="28A736C0"/>
    <w:rsid w:val="28B6F39C"/>
    <w:rsid w:val="28C8F9E6"/>
    <w:rsid w:val="28CA9FF5"/>
    <w:rsid w:val="28DE67B0"/>
    <w:rsid w:val="28E4E90C"/>
    <w:rsid w:val="28ED11D2"/>
    <w:rsid w:val="28FBA045"/>
    <w:rsid w:val="290496EC"/>
    <w:rsid w:val="290DDC21"/>
    <w:rsid w:val="2925F2BA"/>
    <w:rsid w:val="2931D2BE"/>
    <w:rsid w:val="2935F4FF"/>
    <w:rsid w:val="293D23E0"/>
    <w:rsid w:val="293EC0D8"/>
    <w:rsid w:val="29486822"/>
    <w:rsid w:val="295677DB"/>
    <w:rsid w:val="2956C051"/>
    <w:rsid w:val="295ED040"/>
    <w:rsid w:val="2967CD07"/>
    <w:rsid w:val="29690A9A"/>
    <w:rsid w:val="297375E8"/>
    <w:rsid w:val="297634D6"/>
    <w:rsid w:val="2983014C"/>
    <w:rsid w:val="299018D6"/>
    <w:rsid w:val="2999A3EB"/>
    <w:rsid w:val="299A7B12"/>
    <w:rsid w:val="299AAEA6"/>
    <w:rsid w:val="29A1EB25"/>
    <w:rsid w:val="29ACD95D"/>
    <w:rsid w:val="29C86C4C"/>
    <w:rsid w:val="29D0BAA2"/>
    <w:rsid w:val="29D673AB"/>
    <w:rsid w:val="29D6E597"/>
    <w:rsid w:val="29D73511"/>
    <w:rsid w:val="29E37126"/>
    <w:rsid w:val="29FA6C38"/>
    <w:rsid w:val="29FF1AC2"/>
    <w:rsid w:val="2A03D3AF"/>
    <w:rsid w:val="2A0762E4"/>
    <w:rsid w:val="2A147DA2"/>
    <w:rsid w:val="2A19AA67"/>
    <w:rsid w:val="2A1E402C"/>
    <w:rsid w:val="2A258E54"/>
    <w:rsid w:val="2A2729D1"/>
    <w:rsid w:val="2A279DA5"/>
    <w:rsid w:val="2A5DD260"/>
    <w:rsid w:val="2A63C1AE"/>
    <w:rsid w:val="2A738AF0"/>
    <w:rsid w:val="2A756E11"/>
    <w:rsid w:val="2A794259"/>
    <w:rsid w:val="2A824DBB"/>
    <w:rsid w:val="2A86D6BA"/>
    <w:rsid w:val="2A87DB30"/>
    <w:rsid w:val="2A8BD5BF"/>
    <w:rsid w:val="2AAD7B48"/>
    <w:rsid w:val="2AB8D341"/>
    <w:rsid w:val="2ABC5841"/>
    <w:rsid w:val="2ABE6B56"/>
    <w:rsid w:val="2AC37EE6"/>
    <w:rsid w:val="2ACFD0B6"/>
    <w:rsid w:val="2AD7904D"/>
    <w:rsid w:val="2AD7F87C"/>
    <w:rsid w:val="2ADC3A06"/>
    <w:rsid w:val="2ADC3F32"/>
    <w:rsid w:val="2AE308F0"/>
    <w:rsid w:val="2AE6E102"/>
    <w:rsid w:val="2AF7848C"/>
    <w:rsid w:val="2AF9E717"/>
    <w:rsid w:val="2B070D46"/>
    <w:rsid w:val="2B07A230"/>
    <w:rsid w:val="2B0EE7F2"/>
    <w:rsid w:val="2B19C358"/>
    <w:rsid w:val="2B2852CA"/>
    <w:rsid w:val="2B453098"/>
    <w:rsid w:val="2B4A29E0"/>
    <w:rsid w:val="2B53080E"/>
    <w:rsid w:val="2B54E597"/>
    <w:rsid w:val="2B558F8D"/>
    <w:rsid w:val="2B57893C"/>
    <w:rsid w:val="2B5AE6DC"/>
    <w:rsid w:val="2B5D987A"/>
    <w:rsid w:val="2B65AEAE"/>
    <w:rsid w:val="2B7A09AC"/>
    <w:rsid w:val="2B822234"/>
    <w:rsid w:val="2B84B0F0"/>
    <w:rsid w:val="2BA31F4E"/>
    <w:rsid w:val="2BB8E61C"/>
    <w:rsid w:val="2BC28D41"/>
    <w:rsid w:val="2BC7CFF9"/>
    <w:rsid w:val="2BD11349"/>
    <w:rsid w:val="2BD40410"/>
    <w:rsid w:val="2BD7C434"/>
    <w:rsid w:val="2BE093DA"/>
    <w:rsid w:val="2BE68621"/>
    <w:rsid w:val="2BE7F93F"/>
    <w:rsid w:val="2BE985DB"/>
    <w:rsid w:val="2BEACCB5"/>
    <w:rsid w:val="2BEEF4D4"/>
    <w:rsid w:val="2BF47E13"/>
    <w:rsid w:val="2C00E4EB"/>
    <w:rsid w:val="2C0217DB"/>
    <w:rsid w:val="2C0F6C12"/>
    <w:rsid w:val="2C1703EB"/>
    <w:rsid w:val="2C1D2D86"/>
    <w:rsid w:val="2C40E8BB"/>
    <w:rsid w:val="2C45C5B0"/>
    <w:rsid w:val="2C473F15"/>
    <w:rsid w:val="2C48E9A8"/>
    <w:rsid w:val="2C529DF9"/>
    <w:rsid w:val="2C58109A"/>
    <w:rsid w:val="2C585EDB"/>
    <w:rsid w:val="2C5B2528"/>
    <w:rsid w:val="2C626DDF"/>
    <w:rsid w:val="2C71A666"/>
    <w:rsid w:val="2C780A67"/>
    <w:rsid w:val="2C7E427C"/>
    <w:rsid w:val="2C8A2400"/>
    <w:rsid w:val="2C8CB5EC"/>
    <w:rsid w:val="2C907111"/>
    <w:rsid w:val="2C930800"/>
    <w:rsid w:val="2CA96886"/>
    <w:rsid w:val="2CAFC126"/>
    <w:rsid w:val="2CB00768"/>
    <w:rsid w:val="2CC84CBA"/>
    <w:rsid w:val="2CD932D3"/>
    <w:rsid w:val="2CE18BE8"/>
    <w:rsid w:val="2CEFD7EE"/>
    <w:rsid w:val="2CF1D96A"/>
    <w:rsid w:val="2CFAAE3A"/>
    <w:rsid w:val="2D0D2D81"/>
    <w:rsid w:val="2D0DEEE1"/>
    <w:rsid w:val="2D0E2950"/>
    <w:rsid w:val="2D176D04"/>
    <w:rsid w:val="2D26AB88"/>
    <w:rsid w:val="2D2B718D"/>
    <w:rsid w:val="2D330699"/>
    <w:rsid w:val="2D361809"/>
    <w:rsid w:val="2D42D984"/>
    <w:rsid w:val="2D4BCE59"/>
    <w:rsid w:val="2D576AF9"/>
    <w:rsid w:val="2D58FC5C"/>
    <w:rsid w:val="2D644804"/>
    <w:rsid w:val="2D6AE1DA"/>
    <w:rsid w:val="2D6DA5F5"/>
    <w:rsid w:val="2D6E0B97"/>
    <w:rsid w:val="2D7035AB"/>
    <w:rsid w:val="2D70687C"/>
    <w:rsid w:val="2D74198E"/>
    <w:rsid w:val="2D7729D2"/>
    <w:rsid w:val="2D7E1AEB"/>
    <w:rsid w:val="2D7F25D7"/>
    <w:rsid w:val="2D8C6EE1"/>
    <w:rsid w:val="2D91F23A"/>
    <w:rsid w:val="2D9C6FB2"/>
    <w:rsid w:val="2DA21257"/>
    <w:rsid w:val="2DB27EA1"/>
    <w:rsid w:val="2DBEBEA0"/>
    <w:rsid w:val="2DBFFFDB"/>
    <w:rsid w:val="2DC0414E"/>
    <w:rsid w:val="2DC4A399"/>
    <w:rsid w:val="2DC89E13"/>
    <w:rsid w:val="2DD5D862"/>
    <w:rsid w:val="2DFBF438"/>
    <w:rsid w:val="2DFD14B6"/>
    <w:rsid w:val="2E00AB5E"/>
    <w:rsid w:val="2E0B3BBA"/>
    <w:rsid w:val="2E1215DA"/>
    <w:rsid w:val="2E124F88"/>
    <w:rsid w:val="2E1BFB63"/>
    <w:rsid w:val="2E1DD62C"/>
    <w:rsid w:val="2E1ECBFB"/>
    <w:rsid w:val="2E1FFF63"/>
    <w:rsid w:val="2E25E32E"/>
    <w:rsid w:val="2E2ACC70"/>
    <w:rsid w:val="2E332883"/>
    <w:rsid w:val="2E3502DE"/>
    <w:rsid w:val="2E39B623"/>
    <w:rsid w:val="2E3D4EA8"/>
    <w:rsid w:val="2E3E8B17"/>
    <w:rsid w:val="2E4412A6"/>
    <w:rsid w:val="2E667F04"/>
    <w:rsid w:val="2E66BE43"/>
    <w:rsid w:val="2E692532"/>
    <w:rsid w:val="2E711028"/>
    <w:rsid w:val="2E73A845"/>
    <w:rsid w:val="2E740580"/>
    <w:rsid w:val="2E748684"/>
    <w:rsid w:val="2E76F983"/>
    <w:rsid w:val="2E78BECE"/>
    <w:rsid w:val="2E79CF93"/>
    <w:rsid w:val="2E7C1ADE"/>
    <w:rsid w:val="2E81524D"/>
    <w:rsid w:val="2E8E0D67"/>
    <w:rsid w:val="2E93B8EF"/>
    <w:rsid w:val="2E973184"/>
    <w:rsid w:val="2EA564C4"/>
    <w:rsid w:val="2EAB53A5"/>
    <w:rsid w:val="2EAE4FCF"/>
    <w:rsid w:val="2EB23C6E"/>
    <w:rsid w:val="2EB6FDE0"/>
    <w:rsid w:val="2EC14F94"/>
    <w:rsid w:val="2ED183F3"/>
    <w:rsid w:val="2ED8536B"/>
    <w:rsid w:val="2ED94C7A"/>
    <w:rsid w:val="2EDF1B72"/>
    <w:rsid w:val="2EE2A187"/>
    <w:rsid w:val="2EE5F785"/>
    <w:rsid w:val="2EE703D8"/>
    <w:rsid w:val="2EE87C68"/>
    <w:rsid w:val="2EEA5CA9"/>
    <w:rsid w:val="2EF3C891"/>
    <w:rsid w:val="2EF8FF77"/>
    <w:rsid w:val="2F0DA004"/>
    <w:rsid w:val="2F3B0034"/>
    <w:rsid w:val="2F3DFDC3"/>
    <w:rsid w:val="2F4216A7"/>
    <w:rsid w:val="2F435C17"/>
    <w:rsid w:val="2F474A08"/>
    <w:rsid w:val="2F47D87D"/>
    <w:rsid w:val="2F493109"/>
    <w:rsid w:val="2F4AE27C"/>
    <w:rsid w:val="2F516B29"/>
    <w:rsid w:val="2F51CCB0"/>
    <w:rsid w:val="2F61AEEE"/>
    <w:rsid w:val="2F699A5D"/>
    <w:rsid w:val="2F6A3602"/>
    <w:rsid w:val="2F79CA1B"/>
    <w:rsid w:val="2F890BC7"/>
    <w:rsid w:val="2F90A47F"/>
    <w:rsid w:val="2F9335AA"/>
    <w:rsid w:val="2FA7C0E3"/>
    <w:rsid w:val="2FA7E742"/>
    <w:rsid w:val="2FBBAA68"/>
    <w:rsid w:val="2FBCE88F"/>
    <w:rsid w:val="2FC0634B"/>
    <w:rsid w:val="2FC721E1"/>
    <w:rsid w:val="2FD41B1F"/>
    <w:rsid w:val="2FDBE6F8"/>
    <w:rsid w:val="2FDDD6A0"/>
    <w:rsid w:val="2FE43E91"/>
    <w:rsid w:val="2FFD9219"/>
    <w:rsid w:val="301B2A70"/>
    <w:rsid w:val="301DA430"/>
    <w:rsid w:val="30223DE1"/>
    <w:rsid w:val="30296099"/>
    <w:rsid w:val="302B0386"/>
    <w:rsid w:val="303986E6"/>
    <w:rsid w:val="303B923B"/>
    <w:rsid w:val="30432397"/>
    <w:rsid w:val="30549828"/>
    <w:rsid w:val="3055330C"/>
    <w:rsid w:val="305716D2"/>
    <w:rsid w:val="3068404D"/>
    <w:rsid w:val="306ED6A5"/>
    <w:rsid w:val="30715A5E"/>
    <w:rsid w:val="307DC1F4"/>
    <w:rsid w:val="3082CBC6"/>
    <w:rsid w:val="308C1DE4"/>
    <w:rsid w:val="30901917"/>
    <w:rsid w:val="3091E43E"/>
    <w:rsid w:val="30B44821"/>
    <w:rsid w:val="30BD3721"/>
    <w:rsid w:val="30C1D718"/>
    <w:rsid w:val="30D5D29E"/>
    <w:rsid w:val="30F80125"/>
    <w:rsid w:val="30F9E478"/>
    <w:rsid w:val="3105F140"/>
    <w:rsid w:val="310BD1EF"/>
    <w:rsid w:val="3114B7B6"/>
    <w:rsid w:val="311F2C42"/>
    <w:rsid w:val="3120BDDA"/>
    <w:rsid w:val="312600B4"/>
    <w:rsid w:val="3127B302"/>
    <w:rsid w:val="312C5FA8"/>
    <w:rsid w:val="3137358E"/>
    <w:rsid w:val="314C2630"/>
    <w:rsid w:val="314E2A9B"/>
    <w:rsid w:val="31511218"/>
    <w:rsid w:val="3159C3C3"/>
    <w:rsid w:val="315E59BC"/>
    <w:rsid w:val="316157EA"/>
    <w:rsid w:val="3161AD27"/>
    <w:rsid w:val="316617DB"/>
    <w:rsid w:val="316A11B3"/>
    <w:rsid w:val="316D688F"/>
    <w:rsid w:val="317196A2"/>
    <w:rsid w:val="3183788B"/>
    <w:rsid w:val="31865F10"/>
    <w:rsid w:val="318B519C"/>
    <w:rsid w:val="3190EBE3"/>
    <w:rsid w:val="319BFF9C"/>
    <w:rsid w:val="319E41B4"/>
    <w:rsid w:val="319E7580"/>
    <w:rsid w:val="31AE419C"/>
    <w:rsid w:val="31B85018"/>
    <w:rsid w:val="31C57149"/>
    <w:rsid w:val="31CD11F9"/>
    <w:rsid w:val="31D2E6B9"/>
    <w:rsid w:val="31E84E71"/>
    <w:rsid w:val="31E90B4F"/>
    <w:rsid w:val="31E9CBFC"/>
    <w:rsid w:val="31F226CA"/>
    <w:rsid w:val="31F36B5C"/>
    <w:rsid w:val="31F97B24"/>
    <w:rsid w:val="31FA397F"/>
    <w:rsid w:val="31FE1868"/>
    <w:rsid w:val="31FFBD47"/>
    <w:rsid w:val="3216709F"/>
    <w:rsid w:val="321DF29E"/>
    <w:rsid w:val="32275312"/>
    <w:rsid w:val="3227B24D"/>
    <w:rsid w:val="322DD136"/>
    <w:rsid w:val="3242CA52"/>
    <w:rsid w:val="324DAE38"/>
    <w:rsid w:val="32611DA9"/>
    <w:rsid w:val="3263D769"/>
    <w:rsid w:val="32668CB6"/>
    <w:rsid w:val="3266E85A"/>
    <w:rsid w:val="32707367"/>
    <w:rsid w:val="32725B82"/>
    <w:rsid w:val="32765220"/>
    <w:rsid w:val="3277B350"/>
    <w:rsid w:val="3279DF6F"/>
    <w:rsid w:val="327C14A8"/>
    <w:rsid w:val="32878B49"/>
    <w:rsid w:val="328F7E0F"/>
    <w:rsid w:val="32909A2F"/>
    <w:rsid w:val="32943B54"/>
    <w:rsid w:val="32A1B09A"/>
    <w:rsid w:val="32A7C7C8"/>
    <w:rsid w:val="32B143E5"/>
    <w:rsid w:val="32C5397C"/>
    <w:rsid w:val="32C78C11"/>
    <w:rsid w:val="32D04D7B"/>
    <w:rsid w:val="32D334EF"/>
    <w:rsid w:val="32D38C66"/>
    <w:rsid w:val="32D4A029"/>
    <w:rsid w:val="32DF8E6D"/>
    <w:rsid w:val="32E2FE63"/>
    <w:rsid w:val="32E74BEB"/>
    <w:rsid w:val="32E980C6"/>
    <w:rsid w:val="32EAFA45"/>
    <w:rsid w:val="32ECBCFA"/>
    <w:rsid w:val="32F1EF7F"/>
    <w:rsid w:val="32F8AEE5"/>
    <w:rsid w:val="32F9B6A8"/>
    <w:rsid w:val="32FA1B4F"/>
    <w:rsid w:val="32FA2A1D"/>
    <w:rsid w:val="3306F1C0"/>
    <w:rsid w:val="3309D65C"/>
    <w:rsid w:val="330A4B81"/>
    <w:rsid w:val="330CA37B"/>
    <w:rsid w:val="33124C79"/>
    <w:rsid w:val="33188355"/>
    <w:rsid w:val="3319890F"/>
    <w:rsid w:val="331CD3C1"/>
    <w:rsid w:val="331D0597"/>
    <w:rsid w:val="33212451"/>
    <w:rsid w:val="33236D6F"/>
    <w:rsid w:val="3327F552"/>
    <w:rsid w:val="3328A5E9"/>
    <w:rsid w:val="332B9066"/>
    <w:rsid w:val="33350F4E"/>
    <w:rsid w:val="33399166"/>
    <w:rsid w:val="333E98A0"/>
    <w:rsid w:val="333FA6A1"/>
    <w:rsid w:val="33448BC4"/>
    <w:rsid w:val="334D810D"/>
    <w:rsid w:val="3357E731"/>
    <w:rsid w:val="3358197F"/>
    <w:rsid w:val="335FE86F"/>
    <w:rsid w:val="3367900E"/>
    <w:rsid w:val="336A528D"/>
    <w:rsid w:val="33781B7B"/>
    <w:rsid w:val="33830AA5"/>
    <w:rsid w:val="33851073"/>
    <w:rsid w:val="33851175"/>
    <w:rsid w:val="33857F98"/>
    <w:rsid w:val="3394C430"/>
    <w:rsid w:val="339DE66C"/>
    <w:rsid w:val="33A006E3"/>
    <w:rsid w:val="33AD3CCD"/>
    <w:rsid w:val="33AFAF2F"/>
    <w:rsid w:val="33D131B0"/>
    <w:rsid w:val="33D81BCB"/>
    <w:rsid w:val="33EB4660"/>
    <w:rsid w:val="33FB39DA"/>
    <w:rsid w:val="33FEEBA3"/>
    <w:rsid w:val="34054745"/>
    <w:rsid w:val="340CA721"/>
    <w:rsid w:val="3416F55A"/>
    <w:rsid w:val="3421AD2C"/>
    <w:rsid w:val="34220FFD"/>
    <w:rsid w:val="34241A7B"/>
    <w:rsid w:val="34332A8A"/>
    <w:rsid w:val="343607FD"/>
    <w:rsid w:val="3438AC52"/>
    <w:rsid w:val="343BEEA7"/>
    <w:rsid w:val="34415CD1"/>
    <w:rsid w:val="34462B67"/>
    <w:rsid w:val="34467AB3"/>
    <w:rsid w:val="344A7EF3"/>
    <w:rsid w:val="344B83F2"/>
    <w:rsid w:val="344B94D9"/>
    <w:rsid w:val="345072EE"/>
    <w:rsid w:val="34526F5F"/>
    <w:rsid w:val="345B1DE0"/>
    <w:rsid w:val="3468B6D0"/>
    <w:rsid w:val="346B39EF"/>
    <w:rsid w:val="346D93ED"/>
    <w:rsid w:val="34788E5B"/>
    <w:rsid w:val="347AB578"/>
    <w:rsid w:val="347DA341"/>
    <w:rsid w:val="34868A13"/>
    <w:rsid w:val="34909C9C"/>
    <w:rsid w:val="3494FB2C"/>
    <w:rsid w:val="34AFD740"/>
    <w:rsid w:val="34B0EC06"/>
    <w:rsid w:val="34BF267E"/>
    <w:rsid w:val="34C25F5E"/>
    <w:rsid w:val="34C3366A"/>
    <w:rsid w:val="34C40545"/>
    <w:rsid w:val="34C7F9EC"/>
    <w:rsid w:val="34CD37FD"/>
    <w:rsid w:val="34DAF87D"/>
    <w:rsid w:val="34E21814"/>
    <w:rsid w:val="34ED4861"/>
    <w:rsid w:val="34F2757C"/>
    <w:rsid w:val="351EB685"/>
    <w:rsid w:val="35231361"/>
    <w:rsid w:val="3523A992"/>
    <w:rsid w:val="35263BB7"/>
    <w:rsid w:val="3529D156"/>
    <w:rsid w:val="35407372"/>
    <w:rsid w:val="3549E055"/>
    <w:rsid w:val="354D8CE7"/>
    <w:rsid w:val="3555839F"/>
    <w:rsid w:val="3555C95C"/>
    <w:rsid w:val="3558A84A"/>
    <w:rsid w:val="356964C1"/>
    <w:rsid w:val="356C6A99"/>
    <w:rsid w:val="356E1B74"/>
    <w:rsid w:val="356EF1B9"/>
    <w:rsid w:val="35724726"/>
    <w:rsid w:val="357EECD7"/>
    <w:rsid w:val="358A992F"/>
    <w:rsid w:val="358B59DE"/>
    <w:rsid w:val="358CC165"/>
    <w:rsid w:val="35916E9D"/>
    <w:rsid w:val="359D81CB"/>
    <w:rsid w:val="35AFCDA2"/>
    <w:rsid w:val="35B0A828"/>
    <w:rsid w:val="35B68D21"/>
    <w:rsid w:val="35B6F1C8"/>
    <w:rsid w:val="35C9C508"/>
    <w:rsid w:val="35D07D37"/>
    <w:rsid w:val="35D398A8"/>
    <w:rsid w:val="35D9F4D8"/>
    <w:rsid w:val="35EB4D65"/>
    <w:rsid w:val="35ED0A2B"/>
    <w:rsid w:val="35F40482"/>
    <w:rsid w:val="35F59848"/>
    <w:rsid w:val="3607F92B"/>
    <w:rsid w:val="360BE62C"/>
    <w:rsid w:val="360BE8E7"/>
    <w:rsid w:val="361A3A7E"/>
    <w:rsid w:val="36212C7F"/>
    <w:rsid w:val="36219BBE"/>
    <w:rsid w:val="36257D9E"/>
    <w:rsid w:val="36258775"/>
    <w:rsid w:val="3631B689"/>
    <w:rsid w:val="36446B7B"/>
    <w:rsid w:val="36450CF1"/>
    <w:rsid w:val="3653AC2A"/>
    <w:rsid w:val="36563DCA"/>
    <w:rsid w:val="365648BD"/>
    <w:rsid w:val="3662C8E6"/>
    <w:rsid w:val="366E1876"/>
    <w:rsid w:val="3679F189"/>
    <w:rsid w:val="368F2EF0"/>
    <w:rsid w:val="36925DE9"/>
    <w:rsid w:val="369280D1"/>
    <w:rsid w:val="369A54AA"/>
    <w:rsid w:val="369E9C4A"/>
    <w:rsid w:val="36A94327"/>
    <w:rsid w:val="36BDC26A"/>
    <w:rsid w:val="36CDB3C3"/>
    <w:rsid w:val="36D5BEBB"/>
    <w:rsid w:val="36D682B3"/>
    <w:rsid w:val="36E05EE6"/>
    <w:rsid w:val="36E23988"/>
    <w:rsid w:val="36F7DA1B"/>
    <w:rsid w:val="370AC21A"/>
    <w:rsid w:val="371AD82C"/>
    <w:rsid w:val="371C6295"/>
    <w:rsid w:val="371D71E0"/>
    <w:rsid w:val="371E7DCE"/>
    <w:rsid w:val="37230B92"/>
    <w:rsid w:val="372DBB5A"/>
    <w:rsid w:val="372F1C15"/>
    <w:rsid w:val="373B3301"/>
    <w:rsid w:val="374543AA"/>
    <w:rsid w:val="374582D8"/>
    <w:rsid w:val="375A0280"/>
    <w:rsid w:val="375D4868"/>
    <w:rsid w:val="37604018"/>
    <w:rsid w:val="376434A3"/>
    <w:rsid w:val="3769C992"/>
    <w:rsid w:val="376C5664"/>
    <w:rsid w:val="3770F41D"/>
    <w:rsid w:val="3771475B"/>
    <w:rsid w:val="37717C04"/>
    <w:rsid w:val="3779A397"/>
    <w:rsid w:val="37892E70"/>
    <w:rsid w:val="379BFE0B"/>
    <w:rsid w:val="37A96601"/>
    <w:rsid w:val="37AE611D"/>
    <w:rsid w:val="37C6AE3E"/>
    <w:rsid w:val="37C73F68"/>
    <w:rsid w:val="37CF8C56"/>
    <w:rsid w:val="37D42DDC"/>
    <w:rsid w:val="37DC2286"/>
    <w:rsid w:val="37EA5F09"/>
    <w:rsid w:val="37EF8A08"/>
    <w:rsid w:val="38087F94"/>
    <w:rsid w:val="38139779"/>
    <w:rsid w:val="3814552A"/>
    <w:rsid w:val="3824D5EB"/>
    <w:rsid w:val="383238F7"/>
    <w:rsid w:val="38363BCC"/>
    <w:rsid w:val="3838E124"/>
    <w:rsid w:val="384011F7"/>
    <w:rsid w:val="38412A1F"/>
    <w:rsid w:val="38422F70"/>
    <w:rsid w:val="3843AD65"/>
    <w:rsid w:val="3845BFA1"/>
    <w:rsid w:val="384C132F"/>
    <w:rsid w:val="384D3BA4"/>
    <w:rsid w:val="384DF516"/>
    <w:rsid w:val="3856A1C1"/>
    <w:rsid w:val="38643540"/>
    <w:rsid w:val="386A027C"/>
    <w:rsid w:val="387678B3"/>
    <w:rsid w:val="387F0691"/>
    <w:rsid w:val="388E492A"/>
    <w:rsid w:val="38912F15"/>
    <w:rsid w:val="38A4A545"/>
    <w:rsid w:val="38A611EB"/>
    <w:rsid w:val="38B519C8"/>
    <w:rsid w:val="38B8FD38"/>
    <w:rsid w:val="38C8317B"/>
    <w:rsid w:val="38CBCD01"/>
    <w:rsid w:val="38D0C92F"/>
    <w:rsid w:val="38E114D7"/>
    <w:rsid w:val="38EB290D"/>
    <w:rsid w:val="38FC6E71"/>
    <w:rsid w:val="38FE6426"/>
    <w:rsid w:val="39003303"/>
    <w:rsid w:val="3901BB07"/>
    <w:rsid w:val="39039437"/>
    <w:rsid w:val="390B79E7"/>
    <w:rsid w:val="3910913B"/>
    <w:rsid w:val="392179C1"/>
    <w:rsid w:val="392F923C"/>
    <w:rsid w:val="393347FC"/>
    <w:rsid w:val="393F99ED"/>
    <w:rsid w:val="3940FB12"/>
    <w:rsid w:val="39463C4D"/>
    <w:rsid w:val="3947ADD4"/>
    <w:rsid w:val="394A2EB1"/>
    <w:rsid w:val="394D3C1D"/>
    <w:rsid w:val="3955D518"/>
    <w:rsid w:val="3961297D"/>
    <w:rsid w:val="3964FF78"/>
    <w:rsid w:val="39689654"/>
    <w:rsid w:val="396A71BC"/>
    <w:rsid w:val="396ABDAA"/>
    <w:rsid w:val="396AD638"/>
    <w:rsid w:val="396AF99F"/>
    <w:rsid w:val="396BA922"/>
    <w:rsid w:val="396DBE23"/>
    <w:rsid w:val="396EFE1D"/>
    <w:rsid w:val="397955B5"/>
    <w:rsid w:val="397C110F"/>
    <w:rsid w:val="3993BFC9"/>
    <w:rsid w:val="39B92C0D"/>
    <w:rsid w:val="39C1925D"/>
    <w:rsid w:val="39C694AA"/>
    <w:rsid w:val="39E64273"/>
    <w:rsid w:val="39EA8444"/>
    <w:rsid w:val="39EDED53"/>
    <w:rsid w:val="39F34B55"/>
    <w:rsid w:val="39FA8BCA"/>
    <w:rsid w:val="3A006622"/>
    <w:rsid w:val="3A038C07"/>
    <w:rsid w:val="3A066BFE"/>
    <w:rsid w:val="3A0BF95B"/>
    <w:rsid w:val="3A1CBF85"/>
    <w:rsid w:val="3A252AB8"/>
    <w:rsid w:val="3A26318C"/>
    <w:rsid w:val="3A293A7F"/>
    <w:rsid w:val="3A2AD467"/>
    <w:rsid w:val="3A2ECA98"/>
    <w:rsid w:val="3A312805"/>
    <w:rsid w:val="3A36EEAD"/>
    <w:rsid w:val="3A404063"/>
    <w:rsid w:val="3A43D960"/>
    <w:rsid w:val="3A46BC0D"/>
    <w:rsid w:val="3A4ADE67"/>
    <w:rsid w:val="3A57D1F8"/>
    <w:rsid w:val="3A5CD031"/>
    <w:rsid w:val="3A60D841"/>
    <w:rsid w:val="3A6685B6"/>
    <w:rsid w:val="3A80B8AC"/>
    <w:rsid w:val="3A81459E"/>
    <w:rsid w:val="3A84194B"/>
    <w:rsid w:val="3A87A0D6"/>
    <w:rsid w:val="3AA105A1"/>
    <w:rsid w:val="3AA1F6B0"/>
    <w:rsid w:val="3AAB5F79"/>
    <w:rsid w:val="3AB615F9"/>
    <w:rsid w:val="3AB88DC8"/>
    <w:rsid w:val="3ACB34F8"/>
    <w:rsid w:val="3AD25941"/>
    <w:rsid w:val="3AD99CD4"/>
    <w:rsid w:val="3AE43A6C"/>
    <w:rsid w:val="3AE4ACB1"/>
    <w:rsid w:val="3AE5F480"/>
    <w:rsid w:val="3AE6BA3A"/>
    <w:rsid w:val="3AEC7CDB"/>
    <w:rsid w:val="3AF645F3"/>
    <w:rsid w:val="3AF79EDE"/>
    <w:rsid w:val="3AFB8376"/>
    <w:rsid w:val="3AFF7AB0"/>
    <w:rsid w:val="3B2342CB"/>
    <w:rsid w:val="3B25B3D9"/>
    <w:rsid w:val="3B28F5C2"/>
    <w:rsid w:val="3B315B58"/>
    <w:rsid w:val="3B333C7A"/>
    <w:rsid w:val="3B3536EB"/>
    <w:rsid w:val="3B3B6ED1"/>
    <w:rsid w:val="3B42EAD9"/>
    <w:rsid w:val="3B42F7F5"/>
    <w:rsid w:val="3B4E7C69"/>
    <w:rsid w:val="3B4FC4C5"/>
    <w:rsid w:val="3B52D3B3"/>
    <w:rsid w:val="3B552F96"/>
    <w:rsid w:val="3B5AEF78"/>
    <w:rsid w:val="3B5B41CE"/>
    <w:rsid w:val="3B5DE54E"/>
    <w:rsid w:val="3B622FC8"/>
    <w:rsid w:val="3B72BD46"/>
    <w:rsid w:val="3B745F1E"/>
    <w:rsid w:val="3B7733DD"/>
    <w:rsid w:val="3B7E3CFA"/>
    <w:rsid w:val="3B87CE39"/>
    <w:rsid w:val="3B8AA589"/>
    <w:rsid w:val="3B9FE334"/>
    <w:rsid w:val="3BA00F01"/>
    <w:rsid w:val="3BA6C7DD"/>
    <w:rsid w:val="3BAAD8BE"/>
    <w:rsid w:val="3BAD39BB"/>
    <w:rsid w:val="3BAF942B"/>
    <w:rsid w:val="3BB87C47"/>
    <w:rsid w:val="3BBBE49E"/>
    <w:rsid w:val="3BBBE8AE"/>
    <w:rsid w:val="3BBBF7FB"/>
    <w:rsid w:val="3BBE3CCF"/>
    <w:rsid w:val="3BC195D8"/>
    <w:rsid w:val="3BDF70DE"/>
    <w:rsid w:val="3BE65556"/>
    <w:rsid w:val="3BE6E600"/>
    <w:rsid w:val="3BEA2F7A"/>
    <w:rsid w:val="3BF3CF69"/>
    <w:rsid w:val="3BF5F537"/>
    <w:rsid w:val="3C031CD8"/>
    <w:rsid w:val="3C0AE35A"/>
    <w:rsid w:val="3C0EA990"/>
    <w:rsid w:val="3C104C94"/>
    <w:rsid w:val="3C160809"/>
    <w:rsid w:val="3C1ADEED"/>
    <w:rsid w:val="3C1D33D9"/>
    <w:rsid w:val="3C1E15CE"/>
    <w:rsid w:val="3C20D4E2"/>
    <w:rsid w:val="3C2DED6F"/>
    <w:rsid w:val="3C321620"/>
    <w:rsid w:val="3C356C59"/>
    <w:rsid w:val="3C35EEF8"/>
    <w:rsid w:val="3C47EB84"/>
    <w:rsid w:val="3C4C31F0"/>
    <w:rsid w:val="3C4DB73E"/>
    <w:rsid w:val="3C4E00FF"/>
    <w:rsid w:val="3C4E6D49"/>
    <w:rsid w:val="3C571B6E"/>
    <w:rsid w:val="3C6045B1"/>
    <w:rsid w:val="3C662E40"/>
    <w:rsid w:val="3C7D2DC6"/>
    <w:rsid w:val="3C81C4E1"/>
    <w:rsid w:val="3C84F41F"/>
    <w:rsid w:val="3C8521CF"/>
    <w:rsid w:val="3C8CE30B"/>
    <w:rsid w:val="3C9785AD"/>
    <w:rsid w:val="3C9FBE7C"/>
    <w:rsid w:val="3CA83EAE"/>
    <w:rsid w:val="3CAFFA22"/>
    <w:rsid w:val="3CBBED20"/>
    <w:rsid w:val="3CBDA492"/>
    <w:rsid w:val="3CC4ED48"/>
    <w:rsid w:val="3CD49914"/>
    <w:rsid w:val="3CE15187"/>
    <w:rsid w:val="3CE8D3B1"/>
    <w:rsid w:val="3D244B42"/>
    <w:rsid w:val="3D2DC98E"/>
    <w:rsid w:val="3D331E9C"/>
    <w:rsid w:val="3D34EBD0"/>
    <w:rsid w:val="3D3A9AED"/>
    <w:rsid w:val="3D3AAE8D"/>
    <w:rsid w:val="3D3C3882"/>
    <w:rsid w:val="3D413D58"/>
    <w:rsid w:val="3D44A6E0"/>
    <w:rsid w:val="3D44F4C3"/>
    <w:rsid w:val="3D462A73"/>
    <w:rsid w:val="3D464BFA"/>
    <w:rsid w:val="3D569DCC"/>
    <w:rsid w:val="3D632B86"/>
    <w:rsid w:val="3D649F6E"/>
    <w:rsid w:val="3D68C8C7"/>
    <w:rsid w:val="3D6956B6"/>
    <w:rsid w:val="3D6ACC3C"/>
    <w:rsid w:val="3D71EC25"/>
    <w:rsid w:val="3D7B6BB1"/>
    <w:rsid w:val="3D7CE040"/>
    <w:rsid w:val="3D8A6F55"/>
    <w:rsid w:val="3D8F394F"/>
    <w:rsid w:val="3D9601B0"/>
    <w:rsid w:val="3D982E65"/>
    <w:rsid w:val="3D99041E"/>
    <w:rsid w:val="3D9B93C8"/>
    <w:rsid w:val="3D9E8249"/>
    <w:rsid w:val="3DA08BF6"/>
    <w:rsid w:val="3DB47E07"/>
    <w:rsid w:val="3DBBBA0D"/>
    <w:rsid w:val="3DBC6B13"/>
    <w:rsid w:val="3DCF0EC0"/>
    <w:rsid w:val="3DD04BFF"/>
    <w:rsid w:val="3DDA098A"/>
    <w:rsid w:val="3DEC9BC7"/>
    <w:rsid w:val="3DF2534B"/>
    <w:rsid w:val="3DF3C891"/>
    <w:rsid w:val="3E05547A"/>
    <w:rsid w:val="3E081224"/>
    <w:rsid w:val="3E095E7D"/>
    <w:rsid w:val="3E0C48AE"/>
    <w:rsid w:val="3E0C586C"/>
    <w:rsid w:val="3E114CCE"/>
    <w:rsid w:val="3E17D2D1"/>
    <w:rsid w:val="3E1B2F2F"/>
    <w:rsid w:val="3E1CA1D1"/>
    <w:rsid w:val="3E1D9542"/>
    <w:rsid w:val="3E2405DF"/>
    <w:rsid w:val="3E2439F1"/>
    <w:rsid w:val="3E252521"/>
    <w:rsid w:val="3E3000E1"/>
    <w:rsid w:val="3E3263ED"/>
    <w:rsid w:val="3E340403"/>
    <w:rsid w:val="3E3C48B6"/>
    <w:rsid w:val="3E408E9E"/>
    <w:rsid w:val="3E480B84"/>
    <w:rsid w:val="3E484077"/>
    <w:rsid w:val="3E58185F"/>
    <w:rsid w:val="3E622B62"/>
    <w:rsid w:val="3E66ECC0"/>
    <w:rsid w:val="3E6B3573"/>
    <w:rsid w:val="3E72C104"/>
    <w:rsid w:val="3E876A30"/>
    <w:rsid w:val="3E87EAC5"/>
    <w:rsid w:val="3E914964"/>
    <w:rsid w:val="3E92AD4D"/>
    <w:rsid w:val="3E92F65A"/>
    <w:rsid w:val="3E94D495"/>
    <w:rsid w:val="3E9AD8D6"/>
    <w:rsid w:val="3EA2D92F"/>
    <w:rsid w:val="3EAEBCDF"/>
    <w:rsid w:val="3EB46A50"/>
    <w:rsid w:val="3EC63C00"/>
    <w:rsid w:val="3ED16184"/>
    <w:rsid w:val="3ED195C5"/>
    <w:rsid w:val="3ED21D81"/>
    <w:rsid w:val="3EDBA04B"/>
    <w:rsid w:val="3EDF5D11"/>
    <w:rsid w:val="3EE315F7"/>
    <w:rsid w:val="3EEC42EC"/>
    <w:rsid w:val="3EED098E"/>
    <w:rsid w:val="3EEF58AD"/>
    <w:rsid w:val="3EF79661"/>
    <w:rsid w:val="3F00CE60"/>
    <w:rsid w:val="3F0672BE"/>
    <w:rsid w:val="3F0D33C6"/>
    <w:rsid w:val="3F168AF3"/>
    <w:rsid w:val="3F226AAC"/>
    <w:rsid w:val="3F301EE1"/>
    <w:rsid w:val="3F340835"/>
    <w:rsid w:val="3F3B24C9"/>
    <w:rsid w:val="3F428114"/>
    <w:rsid w:val="3F45AAA3"/>
    <w:rsid w:val="3F47370F"/>
    <w:rsid w:val="3F479C40"/>
    <w:rsid w:val="3F51AB93"/>
    <w:rsid w:val="3F54B6FE"/>
    <w:rsid w:val="3F5561F2"/>
    <w:rsid w:val="3F597CC8"/>
    <w:rsid w:val="3F5B613F"/>
    <w:rsid w:val="3F5CA169"/>
    <w:rsid w:val="3F700A6A"/>
    <w:rsid w:val="3F821D8F"/>
    <w:rsid w:val="3F82C6D1"/>
    <w:rsid w:val="3F867FBF"/>
    <w:rsid w:val="3F9459EE"/>
    <w:rsid w:val="3F98CF88"/>
    <w:rsid w:val="3FB2A379"/>
    <w:rsid w:val="3FB4EC35"/>
    <w:rsid w:val="3FB81FF1"/>
    <w:rsid w:val="3FBF34FA"/>
    <w:rsid w:val="3FC5CEF3"/>
    <w:rsid w:val="3FD514EC"/>
    <w:rsid w:val="3FDC18B9"/>
    <w:rsid w:val="3FDCB140"/>
    <w:rsid w:val="3FF2A5B5"/>
    <w:rsid w:val="3FF3D260"/>
    <w:rsid w:val="3FF4A055"/>
    <w:rsid w:val="3FFEF2E8"/>
    <w:rsid w:val="40022F29"/>
    <w:rsid w:val="4003BFE5"/>
    <w:rsid w:val="400AF8AE"/>
    <w:rsid w:val="402477A1"/>
    <w:rsid w:val="40258EE4"/>
    <w:rsid w:val="40289766"/>
    <w:rsid w:val="402E1907"/>
    <w:rsid w:val="40367666"/>
    <w:rsid w:val="403C093C"/>
    <w:rsid w:val="403C56F5"/>
    <w:rsid w:val="403DE5E9"/>
    <w:rsid w:val="404381C3"/>
    <w:rsid w:val="4048ED0D"/>
    <w:rsid w:val="40529938"/>
    <w:rsid w:val="40630086"/>
    <w:rsid w:val="406AB3CB"/>
    <w:rsid w:val="40731562"/>
    <w:rsid w:val="40766F60"/>
    <w:rsid w:val="407D5D62"/>
    <w:rsid w:val="407F2BFB"/>
    <w:rsid w:val="4081BA56"/>
    <w:rsid w:val="409A886A"/>
    <w:rsid w:val="40A3BE75"/>
    <w:rsid w:val="40B25AE0"/>
    <w:rsid w:val="40B2C92B"/>
    <w:rsid w:val="40C190E9"/>
    <w:rsid w:val="40C422EA"/>
    <w:rsid w:val="40C5C119"/>
    <w:rsid w:val="40C8E847"/>
    <w:rsid w:val="40D0E4B7"/>
    <w:rsid w:val="40D8AE8B"/>
    <w:rsid w:val="40E29C89"/>
    <w:rsid w:val="40EB2534"/>
    <w:rsid w:val="40EB8BAB"/>
    <w:rsid w:val="40EC79FB"/>
    <w:rsid w:val="40F89B86"/>
    <w:rsid w:val="40FB4855"/>
    <w:rsid w:val="40FE8F34"/>
    <w:rsid w:val="41089BDD"/>
    <w:rsid w:val="410E007B"/>
    <w:rsid w:val="4110AB35"/>
    <w:rsid w:val="4117CF09"/>
    <w:rsid w:val="4117F97B"/>
    <w:rsid w:val="4119BBA3"/>
    <w:rsid w:val="411F57EF"/>
    <w:rsid w:val="4127E3DF"/>
    <w:rsid w:val="413C99A2"/>
    <w:rsid w:val="414CA46F"/>
    <w:rsid w:val="414D889B"/>
    <w:rsid w:val="415044B1"/>
    <w:rsid w:val="415514A5"/>
    <w:rsid w:val="415F4D77"/>
    <w:rsid w:val="41684113"/>
    <w:rsid w:val="41686896"/>
    <w:rsid w:val="4170E6EA"/>
    <w:rsid w:val="41735BF5"/>
    <w:rsid w:val="4176EAFD"/>
    <w:rsid w:val="417B041F"/>
    <w:rsid w:val="417F0398"/>
    <w:rsid w:val="41801811"/>
    <w:rsid w:val="4187F303"/>
    <w:rsid w:val="419ADB25"/>
    <w:rsid w:val="41A0D0A5"/>
    <w:rsid w:val="41AA32DB"/>
    <w:rsid w:val="41B52085"/>
    <w:rsid w:val="41BA8203"/>
    <w:rsid w:val="41CFB8E9"/>
    <w:rsid w:val="41D09084"/>
    <w:rsid w:val="41DC1E68"/>
    <w:rsid w:val="41E01903"/>
    <w:rsid w:val="41E0B75C"/>
    <w:rsid w:val="41E5FF14"/>
    <w:rsid w:val="41ECF6FB"/>
    <w:rsid w:val="41F343C5"/>
    <w:rsid w:val="41F88977"/>
    <w:rsid w:val="41F8C230"/>
    <w:rsid w:val="4209F185"/>
    <w:rsid w:val="421A8990"/>
    <w:rsid w:val="421A8D1D"/>
    <w:rsid w:val="421BFF73"/>
    <w:rsid w:val="4227C92B"/>
    <w:rsid w:val="422C055D"/>
    <w:rsid w:val="422E9FAB"/>
    <w:rsid w:val="4245355C"/>
    <w:rsid w:val="42460E0B"/>
    <w:rsid w:val="425DC38D"/>
    <w:rsid w:val="42613787"/>
    <w:rsid w:val="426F0DF6"/>
    <w:rsid w:val="426F8F28"/>
    <w:rsid w:val="42923EE6"/>
    <w:rsid w:val="42A84ED1"/>
    <w:rsid w:val="42AE409A"/>
    <w:rsid w:val="42B2E913"/>
    <w:rsid w:val="42B5CE06"/>
    <w:rsid w:val="42B9C20D"/>
    <w:rsid w:val="42CE2781"/>
    <w:rsid w:val="42CE788D"/>
    <w:rsid w:val="42D24C63"/>
    <w:rsid w:val="42D2FD57"/>
    <w:rsid w:val="42D54C53"/>
    <w:rsid w:val="42DA13B0"/>
    <w:rsid w:val="42DBA547"/>
    <w:rsid w:val="42E9BFCC"/>
    <w:rsid w:val="42E9F042"/>
    <w:rsid w:val="42EA5AEC"/>
    <w:rsid w:val="42EFBC21"/>
    <w:rsid w:val="42F8CDDA"/>
    <w:rsid w:val="43050C5C"/>
    <w:rsid w:val="430846FB"/>
    <w:rsid w:val="43193D68"/>
    <w:rsid w:val="431A5FE8"/>
    <w:rsid w:val="431A88CA"/>
    <w:rsid w:val="431AA9C1"/>
    <w:rsid w:val="4330C668"/>
    <w:rsid w:val="43356DEC"/>
    <w:rsid w:val="4339099E"/>
    <w:rsid w:val="4340FE9E"/>
    <w:rsid w:val="4364C173"/>
    <w:rsid w:val="436FAC97"/>
    <w:rsid w:val="437763DF"/>
    <w:rsid w:val="437B5999"/>
    <w:rsid w:val="438A3BEF"/>
    <w:rsid w:val="438B6ED4"/>
    <w:rsid w:val="43931BF2"/>
    <w:rsid w:val="439390F5"/>
    <w:rsid w:val="439D01B6"/>
    <w:rsid w:val="439E95E7"/>
    <w:rsid w:val="43A6DA6F"/>
    <w:rsid w:val="43AFAB58"/>
    <w:rsid w:val="43B246C8"/>
    <w:rsid w:val="43B2769F"/>
    <w:rsid w:val="43C9683C"/>
    <w:rsid w:val="43C96BA1"/>
    <w:rsid w:val="43C9FF38"/>
    <w:rsid w:val="43CC6A22"/>
    <w:rsid w:val="43DC0609"/>
    <w:rsid w:val="43F21D76"/>
    <w:rsid w:val="43F58389"/>
    <w:rsid w:val="43F9E676"/>
    <w:rsid w:val="43FDE9BC"/>
    <w:rsid w:val="43FFE1E6"/>
    <w:rsid w:val="440188EA"/>
    <w:rsid w:val="441DE55B"/>
    <w:rsid w:val="4420D30E"/>
    <w:rsid w:val="44257668"/>
    <w:rsid w:val="4426B125"/>
    <w:rsid w:val="442D4F0F"/>
    <w:rsid w:val="44300BA9"/>
    <w:rsid w:val="443093DE"/>
    <w:rsid w:val="4431E4F2"/>
    <w:rsid w:val="444B0E09"/>
    <w:rsid w:val="444DD3FD"/>
    <w:rsid w:val="44547E7D"/>
    <w:rsid w:val="4462642A"/>
    <w:rsid w:val="4463839F"/>
    <w:rsid w:val="44767900"/>
    <w:rsid w:val="4479E2DC"/>
    <w:rsid w:val="447F25C5"/>
    <w:rsid w:val="447FFA1D"/>
    <w:rsid w:val="4488E1D6"/>
    <w:rsid w:val="448B1037"/>
    <w:rsid w:val="448ECEDD"/>
    <w:rsid w:val="448EF6ED"/>
    <w:rsid w:val="449F1384"/>
    <w:rsid w:val="44AD1DC7"/>
    <w:rsid w:val="44B6DCAC"/>
    <w:rsid w:val="44B990F7"/>
    <w:rsid w:val="44BF9369"/>
    <w:rsid w:val="44C0DCFF"/>
    <w:rsid w:val="44C45DE6"/>
    <w:rsid w:val="44D17FC3"/>
    <w:rsid w:val="44D32D4B"/>
    <w:rsid w:val="44D4CA17"/>
    <w:rsid w:val="44D840CA"/>
    <w:rsid w:val="44DA731D"/>
    <w:rsid w:val="44DB7D14"/>
    <w:rsid w:val="44E55862"/>
    <w:rsid w:val="44EB5F48"/>
    <w:rsid w:val="44F1D9B4"/>
    <w:rsid w:val="44FA8FC0"/>
    <w:rsid w:val="450951E9"/>
    <w:rsid w:val="450C30A6"/>
    <w:rsid w:val="4533DF65"/>
    <w:rsid w:val="45371647"/>
    <w:rsid w:val="454EA9A7"/>
    <w:rsid w:val="4553CA79"/>
    <w:rsid w:val="45617CE8"/>
    <w:rsid w:val="4562C9E3"/>
    <w:rsid w:val="4564BA58"/>
    <w:rsid w:val="457235E7"/>
    <w:rsid w:val="45766FEB"/>
    <w:rsid w:val="4577DE4C"/>
    <w:rsid w:val="458083ED"/>
    <w:rsid w:val="458BDF7A"/>
    <w:rsid w:val="458E31F4"/>
    <w:rsid w:val="4594BF7F"/>
    <w:rsid w:val="45A9F33C"/>
    <w:rsid w:val="45AFDDBC"/>
    <w:rsid w:val="45B80A49"/>
    <w:rsid w:val="45BAD137"/>
    <w:rsid w:val="45BD29E0"/>
    <w:rsid w:val="45BE2E14"/>
    <w:rsid w:val="45C91A83"/>
    <w:rsid w:val="45D9C18A"/>
    <w:rsid w:val="45DFD455"/>
    <w:rsid w:val="45E2F2C1"/>
    <w:rsid w:val="45E62AED"/>
    <w:rsid w:val="45E6F888"/>
    <w:rsid w:val="45E6FC05"/>
    <w:rsid w:val="45EB6D9B"/>
    <w:rsid w:val="45EC1310"/>
    <w:rsid w:val="45F2BE76"/>
    <w:rsid w:val="4601351C"/>
    <w:rsid w:val="46095EB5"/>
    <w:rsid w:val="4619F98E"/>
    <w:rsid w:val="462A83C5"/>
    <w:rsid w:val="462FA2F7"/>
    <w:rsid w:val="46333526"/>
    <w:rsid w:val="4634C170"/>
    <w:rsid w:val="463D6B31"/>
    <w:rsid w:val="463D8E55"/>
    <w:rsid w:val="463EDD46"/>
    <w:rsid w:val="4659D3F6"/>
    <w:rsid w:val="465BD2A1"/>
    <w:rsid w:val="465CD33E"/>
    <w:rsid w:val="466FED6B"/>
    <w:rsid w:val="467F7769"/>
    <w:rsid w:val="46832C11"/>
    <w:rsid w:val="4686EC89"/>
    <w:rsid w:val="4687E691"/>
    <w:rsid w:val="4691E49D"/>
    <w:rsid w:val="46A50FDF"/>
    <w:rsid w:val="46A8AD42"/>
    <w:rsid w:val="46A9AB39"/>
    <w:rsid w:val="46ADCA97"/>
    <w:rsid w:val="46B591FB"/>
    <w:rsid w:val="46B75A3B"/>
    <w:rsid w:val="46C277F6"/>
    <w:rsid w:val="46C9FF0A"/>
    <w:rsid w:val="46D1965B"/>
    <w:rsid w:val="46D3B53D"/>
    <w:rsid w:val="46E1D109"/>
    <w:rsid w:val="46EF0DD0"/>
    <w:rsid w:val="46F53422"/>
    <w:rsid w:val="46F89284"/>
    <w:rsid w:val="4703F122"/>
    <w:rsid w:val="470639B9"/>
    <w:rsid w:val="470927DE"/>
    <w:rsid w:val="470AA330"/>
    <w:rsid w:val="4715AD5C"/>
    <w:rsid w:val="4718E661"/>
    <w:rsid w:val="471C6A1A"/>
    <w:rsid w:val="4724CE11"/>
    <w:rsid w:val="472AF2B0"/>
    <w:rsid w:val="473D18E8"/>
    <w:rsid w:val="473F745D"/>
    <w:rsid w:val="4740488D"/>
    <w:rsid w:val="474EDACC"/>
    <w:rsid w:val="47556ADD"/>
    <w:rsid w:val="475B81BD"/>
    <w:rsid w:val="47635249"/>
    <w:rsid w:val="4763BF6F"/>
    <w:rsid w:val="47652925"/>
    <w:rsid w:val="476DF4B7"/>
    <w:rsid w:val="47713820"/>
    <w:rsid w:val="47850CAB"/>
    <w:rsid w:val="47897D1F"/>
    <w:rsid w:val="478D7E76"/>
    <w:rsid w:val="478F0B87"/>
    <w:rsid w:val="47927E44"/>
    <w:rsid w:val="479AA9CD"/>
    <w:rsid w:val="47A52F16"/>
    <w:rsid w:val="47AFD9F2"/>
    <w:rsid w:val="47B7CA6D"/>
    <w:rsid w:val="47BCED61"/>
    <w:rsid w:val="47CBD70C"/>
    <w:rsid w:val="47DAB8D0"/>
    <w:rsid w:val="47E21E17"/>
    <w:rsid w:val="47E5965A"/>
    <w:rsid w:val="47F4F8A9"/>
    <w:rsid w:val="47FC619E"/>
    <w:rsid w:val="4809C1B2"/>
    <w:rsid w:val="480C06C6"/>
    <w:rsid w:val="48138BD9"/>
    <w:rsid w:val="481D2F49"/>
    <w:rsid w:val="482A1D96"/>
    <w:rsid w:val="48311734"/>
    <w:rsid w:val="48395EDA"/>
    <w:rsid w:val="483B014E"/>
    <w:rsid w:val="484E51C6"/>
    <w:rsid w:val="4854B38E"/>
    <w:rsid w:val="4862EF08"/>
    <w:rsid w:val="48677D20"/>
    <w:rsid w:val="487B9497"/>
    <w:rsid w:val="4886EDB5"/>
    <w:rsid w:val="489984E0"/>
    <w:rsid w:val="489F2308"/>
    <w:rsid w:val="48A19FD5"/>
    <w:rsid w:val="48A5112F"/>
    <w:rsid w:val="48B82657"/>
    <w:rsid w:val="48BA08F3"/>
    <w:rsid w:val="48C49B1A"/>
    <w:rsid w:val="48C5B392"/>
    <w:rsid w:val="48CB77DB"/>
    <w:rsid w:val="48CE9D57"/>
    <w:rsid w:val="48D16A76"/>
    <w:rsid w:val="48D2D23A"/>
    <w:rsid w:val="48D2D657"/>
    <w:rsid w:val="48FA3BEB"/>
    <w:rsid w:val="48FDA740"/>
    <w:rsid w:val="49040265"/>
    <w:rsid w:val="490A9B4D"/>
    <w:rsid w:val="4911624C"/>
    <w:rsid w:val="4919B9CF"/>
    <w:rsid w:val="4921053B"/>
    <w:rsid w:val="4921624C"/>
    <w:rsid w:val="492348E5"/>
    <w:rsid w:val="4926ADAF"/>
    <w:rsid w:val="492F86A7"/>
    <w:rsid w:val="4955EFEC"/>
    <w:rsid w:val="49605F66"/>
    <w:rsid w:val="4963AC59"/>
    <w:rsid w:val="4966DA2C"/>
    <w:rsid w:val="497D65E6"/>
    <w:rsid w:val="497F2757"/>
    <w:rsid w:val="49814F3F"/>
    <w:rsid w:val="498708F2"/>
    <w:rsid w:val="49877CF1"/>
    <w:rsid w:val="4989B0D6"/>
    <w:rsid w:val="4990A01D"/>
    <w:rsid w:val="4992D312"/>
    <w:rsid w:val="499D8341"/>
    <w:rsid w:val="49A558E8"/>
    <w:rsid w:val="49A59213"/>
    <w:rsid w:val="49A5C9DF"/>
    <w:rsid w:val="49A8FE71"/>
    <w:rsid w:val="49ABC39F"/>
    <w:rsid w:val="49B19B4E"/>
    <w:rsid w:val="49B9E0FB"/>
    <w:rsid w:val="49C32875"/>
    <w:rsid w:val="49CC5B2C"/>
    <w:rsid w:val="49D3A5D7"/>
    <w:rsid w:val="49DF467A"/>
    <w:rsid w:val="49E7A714"/>
    <w:rsid w:val="49EAA4DF"/>
    <w:rsid w:val="49EE6385"/>
    <w:rsid w:val="49F1F795"/>
    <w:rsid w:val="49F9608A"/>
    <w:rsid w:val="49F99301"/>
    <w:rsid w:val="4A058639"/>
    <w:rsid w:val="4A0D5B58"/>
    <w:rsid w:val="4A14B4A9"/>
    <w:rsid w:val="4A15B3B5"/>
    <w:rsid w:val="4A166202"/>
    <w:rsid w:val="4A175827"/>
    <w:rsid w:val="4A23BB2A"/>
    <w:rsid w:val="4A3AE27F"/>
    <w:rsid w:val="4A3D0A83"/>
    <w:rsid w:val="4A3F5E49"/>
    <w:rsid w:val="4A3FDC5F"/>
    <w:rsid w:val="4A4E5677"/>
    <w:rsid w:val="4A4F4D8F"/>
    <w:rsid w:val="4A54877B"/>
    <w:rsid w:val="4A5A30D8"/>
    <w:rsid w:val="4A5B8535"/>
    <w:rsid w:val="4A735354"/>
    <w:rsid w:val="4A77C020"/>
    <w:rsid w:val="4A831819"/>
    <w:rsid w:val="4A8A80C9"/>
    <w:rsid w:val="4A971A04"/>
    <w:rsid w:val="4A9B4AAF"/>
    <w:rsid w:val="4A9F27C7"/>
    <w:rsid w:val="4AA1EC4D"/>
    <w:rsid w:val="4AA289FD"/>
    <w:rsid w:val="4AA400D5"/>
    <w:rsid w:val="4AB5F540"/>
    <w:rsid w:val="4AB73AFE"/>
    <w:rsid w:val="4ABD9F8E"/>
    <w:rsid w:val="4AC536DC"/>
    <w:rsid w:val="4AC8C6D7"/>
    <w:rsid w:val="4ACFDB2C"/>
    <w:rsid w:val="4AE3EBE5"/>
    <w:rsid w:val="4AE5B075"/>
    <w:rsid w:val="4AF09EC8"/>
    <w:rsid w:val="4AF32B11"/>
    <w:rsid w:val="4AF416F0"/>
    <w:rsid w:val="4B0861F7"/>
    <w:rsid w:val="4B18A41C"/>
    <w:rsid w:val="4B21E665"/>
    <w:rsid w:val="4B2AAA04"/>
    <w:rsid w:val="4B308E1E"/>
    <w:rsid w:val="4B33213C"/>
    <w:rsid w:val="4B35924A"/>
    <w:rsid w:val="4B367C31"/>
    <w:rsid w:val="4B45084E"/>
    <w:rsid w:val="4B4DF696"/>
    <w:rsid w:val="4B4FC26A"/>
    <w:rsid w:val="4B57D0A3"/>
    <w:rsid w:val="4B5C5FAB"/>
    <w:rsid w:val="4B62D1D6"/>
    <w:rsid w:val="4B65A0A5"/>
    <w:rsid w:val="4B6DA6F2"/>
    <w:rsid w:val="4B700D92"/>
    <w:rsid w:val="4B886913"/>
    <w:rsid w:val="4B889515"/>
    <w:rsid w:val="4B89ED0B"/>
    <w:rsid w:val="4B92FE64"/>
    <w:rsid w:val="4B93B230"/>
    <w:rsid w:val="4B9D0B14"/>
    <w:rsid w:val="4BA0FEA3"/>
    <w:rsid w:val="4BA46267"/>
    <w:rsid w:val="4BA62B4B"/>
    <w:rsid w:val="4BB02B89"/>
    <w:rsid w:val="4BB07C04"/>
    <w:rsid w:val="4BB50481"/>
    <w:rsid w:val="4BB66559"/>
    <w:rsid w:val="4BB74D24"/>
    <w:rsid w:val="4BC56C0A"/>
    <w:rsid w:val="4BCB87C9"/>
    <w:rsid w:val="4BD6B2E0"/>
    <w:rsid w:val="4BD868CB"/>
    <w:rsid w:val="4BD98C5E"/>
    <w:rsid w:val="4BE435F5"/>
    <w:rsid w:val="4BF0A5CB"/>
    <w:rsid w:val="4BF55E9B"/>
    <w:rsid w:val="4BF7AC74"/>
    <w:rsid w:val="4BFE1EBD"/>
    <w:rsid w:val="4C015E15"/>
    <w:rsid w:val="4C0ED7B3"/>
    <w:rsid w:val="4C0FE99B"/>
    <w:rsid w:val="4C215EB4"/>
    <w:rsid w:val="4C22E7DF"/>
    <w:rsid w:val="4C256316"/>
    <w:rsid w:val="4C264443"/>
    <w:rsid w:val="4C326EF8"/>
    <w:rsid w:val="4C3DC473"/>
    <w:rsid w:val="4C3DFAFC"/>
    <w:rsid w:val="4C527F83"/>
    <w:rsid w:val="4C5A81B0"/>
    <w:rsid w:val="4C5D4F1D"/>
    <w:rsid w:val="4C6347F1"/>
    <w:rsid w:val="4C68BFF3"/>
    <w:rsid w:val="4C6BB030"/>
    <w:rsid w:val="4C751B92"/>
    <w:rsid w:val="4C7C64DD"/>
    <w:rsid w:val="4C7E53C2"/>
    <w:rsid w:val="4C7F2AF2"/>
    <w:rsid w:val="4C845791"/>
    <w:rsid w:val="4C85A423"/>
    <w:rsid w:val="4C9239C9"/>
    <w:rsid w:val="4C947307"/>
    <w:rsid w:val="4C96F49C"/>
    <w:rsid w:val="4C97C04B"/>
    <w:rsid w:val="4C9C31B5"/>
    <w:rsid w:val="4CA1D13C"/>
    <w:rsid w:val="4CA855A5"/>
    <w:rsid w:val="4CA87A9E"/>
    <w:rsid w:val="4CA95465"/>
    <w:rsid w:val="4CAF15D0"/>
    <w:rsid w:val="4CAFA1B5"/>
    <w:rsid w:val="4CB3A686"/>
    <w:rsid w:val="4CD4432C"/>
    <w:rsid w:val="4CD4E57D"/>
    <w:rsid w:val="4CDD4619"/>
    <w:rsid w:val="4CDE041F"/>
    <w:rsid w:val="4CE0409D"/>
    <w:rsid w:val="4CE238DB"/>
    <w:rsid w:val="4CEE230A"/>
    <w:rsid w:val="4CF010B0"/>
    <w:rsid w:val="4CF178D5"/>
    <w:rsid w:val="4CF4FE44"/>
    <w:rsid w:val="4D030660"/>
    <w:rsid w:val="4D042754"/>
    <w:rsid w:val="4D04881A"/>
    <w:rsid w:val="4D0CCEB8"/>
    <w:rsid w:val="4D10A80C"/>
    <w:rsid w:val="4D13981F"/>
    <w:rsid w:val="4D395181"/>
    <w:rsid w:val="4D3E231A"/>
    <w:rsid w:val="4D61FA39"/>
    <w:rsid w:val="4D68E04E"/>
    <w:rsid w:val="4D6F598B"/>
    <w:rsid w:val="4D728B13"/>
    <w:rsid w:val="4D78EC36"/>
    <w:rsid w:val="4D815D09"/>
    <w:rsid w:val="4D8BA19E"/>
    <w:rsid w:val="4DA6D371"/>
    <w:rsid w:val="4DB0EE44"/>
    <w:rsid w:val="4DC374B9"/>
    <w:rsid w:val="4DCD813E"/>
    <w:rsid w:val="4DD09DFE"/>
    <w:rsid w:val="4DD7FFB0"/>
    <w:rsid w:val="4DDB440D"/>
    <w:rsid w:val="4DDB7C50"/>
    <w:rsid w:val="4DE5A30E"/>
    <w:rsid w:val="4DE96720"/>
    <w:rsid w:val="4DF3E039"/>
    <w:rsid w:val="4DF3E1BE"/>
    <w:rsid w:val="4DF41CF3"/>
    <w:rsid w:val="4DF776F2"/>
    <w:rsid w:val="4E021CCF"/>
    <w:rsid w:val="4E045113"/>
    <w:rsid w:val="4E0C4A54"/>
    <w:rsid w:val="4E14FE6F"/>
    <w:rsid w:val="4E15B258"/>
    <w:rsid w:val="4E1AA2C0"/>
    <w:rsid w:val="4E1AFE3E"/>
    <w:rsid w:val="4E2E58A3"/>
    <w:rsid w:val="4E323294"/>
    <w:rsid w:val="4E35163E"/>
    <w:rsid w:val="4E397049"/>
    <w:rsid w:val="4E413BBE"/>
    <w:rsid w:val="4E41BF62"/>
    <w:rsid w:val="4E4499AD"/>
    <w:rsid w:val="4E4524C6"/>
    <w:rsid w:val="4E52979C"/>
    <w:rsid w:val="4E5A216B"/>
    <w:rsid w:val="4E5B9633"/>
    <w:rsid w:val="4E692308"/>
    <w:rsid w:val="4E69968A"/>
    <w:rsid w:val="4E6C3882"/>
    <w:rsid w:val="4E73DFB5"/>
    <w:rsid w:val="4E7E134E"/>
    <w:rsid w:val="4E8A5541"/>
    <w:rsid w:val="4E8BEA14"/>
    <w:rsid w:val="4E92B993"/>
    <w:rsid w:val="4EA52137"/>
    <w:rsid w:val="4EAA9305"/>
    <w:rsid w:val="4ECA9DD3"/>
    <w:rsid w:val="4ECAC684"/>
    <w:rsid w:val="4ED80304"/>
    <w:rsid w:val="4EDC5FCA"/>
    <w:rsid w:val="4EEA719B"/>
    <w:rsid w:val="4EF1017E"/>
    <w:rsid w:val="4EF7478F"/>
    <w:rsid w:val="4EF82341"/>
    <w:rsid w:val="4EFB4342"/>
    <w:rsid w:val="4F06D5B0"/>
    <w:rsid w:val="4F1DBB7A"/>
    <w:rsid w:val="4F20E2A8"/>
    <w:rsid w:val="4F23E046"/>
    <w:rsid w:val="4F311181"/>
    <w:rsid w:val="4F479CD8"/>
    <w:rsid w:val="4F551D78"/>
    <w:rsid w:val="4F75B5E9"/>
    <w:rsid w:val="4F7A70CB"/>
    <w:rsid w:val="4F86564E"/>
    <w:rsid w:val="4F898B5C"/>
    <w:rsid w:val="4F8F420F"/>
    <w:rsid w:val="4F97DBB7"/>
    <w:rsid w:val="4FAA779F"/>
    <w:rsid w:val="4FB2F309"/>
    <w:rsid w:val="4FE030DD"/>
    <w:rsid w:val="4FE7BDBB"/>
    <w:rsid w:val="4FE7EF91"/>
    <w:rsid w:val="4FEF61D3"/>
    <w:rsid w:val="4FF2B861"/>
    <w:rsid w:val="4FF44FA4"/>
    <w:rsid w:val="4FF99170"/>
    <w:rsid w:val="4FFE98F7"/>
    <w:rsid w:val="4FFED73D"/>
    <w:rsid w:val="4FFFD8E1"/>
    <w:rsid w:val="500A98E2"/>
    <w:rsid w:val="5012EAC6"/>
    <w:rsid w:val="501E3DC0"/>
    <w:rsid w:val="502CE47E"/>
    <w:rsid w:val="502CE7BD"/>
    <w:rsid w:val="50350F3E"/>
    <w:rsid w:val="50359D54"/>
    <w:rsid w:val="50440A68"/>
    <w:rsid w:val="5045298E"/>
    <w:rsid w:val="5046D8B4"/>
    <w:rsid w:val="50537ECE"/>
    <w:rsid w:val="50588331"/>
    <w:rsid w:val="505A4661"/>
    <w:rsid w:val="505DB86C"/>
    <w:rsid w:val="505DEB12"/>
    <w:rsid w:val="506E4868"/>
    <w:rsid w:val="506F4D1C"/>
    <w:rsid w:val="507A9ACA"/>
    <w:rsid w:val="507F78D7"/>
    <w:rsid w:val="5083F74A"/>
    <w:rsid w:val="50891A7F"/>
    <w:rsid w:val="508C534E"/>
    <w:rsid w:val="5095866D"/>
    <w:rsid w:val="509656EE"/>
    <w:rsid w:val="5096B438"/>
    <w:rsid w:val="5098B756"/>
    <w:rsid w:val="509B2853"/>
    <w:rsid w:val="509B3326"/>
    <w:rsid w:val="50A454C8"/>
    <w:rsid w:val="50AD5808"/>
    <w:rsid w:val="50B5B2CC"/>
    <w:rsid w:val="50B83785"/>
    <w:rsid w:val="50B99673"/>
    <w:rsid w:val="50BFBBFC"/>
    <w:rsid w:val="50C52CF9"/>
    <w:rsid w:val="50D3DA86"/>
    <w:rsid w:val="50E0B9FB"/>
    <w:rsid w:val="50E6BDB0"/>
    <w:rsid w:val="50E73E9E"/>
    <w:rsid w:val="50F7925E"/>
    <w:rsid w:val="50FC5B3D"/>
    <w:rsid w:val="5103AEF7"/>
    <w:rsid w:val="5104E5BC"/>
    <w:rsid w:val="51065B88"/>
    <w:rsid w:val="51153000"/>
    <w:rsid w:val="511DC9C4"/>
    <w:rsid w:val="513F6104"/>
    <w:rsid w:val="5149DCAB"/>
    <w:rsid w:val="515B4AED"/>
    <w:rsid w:val="515ED469"/>
    <w:rsid w:val="5161FEEB"/>
    <w:rsid w:val="5168FBC7"/>
    <w:rsid w:val="516C514D"/>
    <w:rsid w:val="517C905E"/>
    <w:rsid w:val="5181BE82"/>
    <w:rsid w:val="5184D9A2"/>
    <w:rsid w:val="51905D33"/>
    <w:rsid w:val="51965B7E"/>
    <w:rsid w:val="51A09798"/>
    <w:rsid w:val="51A1A774"/>
    <w:rsid w:val="51A45711"/>
    <w:rsid w:val="51A8660A"/>
    <w:rsid w:val="51AE221A"/>
    <w:rsid w:val="51C44C2D"/>
    <w:rsid w:val="51C658F2"/>
    <w:rsid w:val="51D45674"/>
    <w:rsid w:val="51DABC8A"/>
    <w:rsid w:val="51E4C2F5"/>
    <w:rsid w:val="51E7080C"/>
    <w:rsid w:val="51E7EB5D"/>
    <w:rsid w:val="5200F0DE"/>
    <w:rsid w:val="520233B5"/>
    <w:rsid w:val="5203FF58"/>
    <w:rsid w:val="5206C0C3"/>
    <w:rsid w:val="5219324C"/>
    <w:rsid w:val="521AFA9E"/>
    <w:rsid w:val="521F059F"/>
    <w:rsid w:val="52244605"/>
    <w:rsid w:val="5230430B"/>
    <w:rsid w:val="5232447E"/>
    <w:rsid w:val="523DCB30"/>
    <w:rsid w:val="524B16A3"/>
    <w:rsid w:val="524EC559"/>
    <w:rsid w:val="5253C861"/>
    <w:rsid w:val="5254F795"/>
    <w:rsid w:val="5257904E"/>
    <w:rsid w:val="5260AD21"/>
    <w:rsid w:val="526B0D6B"/>
    <w:rsid w:val="526E6132"/>
    <w:rsid w:val="5279AE7D"/>
    <w:rsid w:val="527E286D"/>
    <w:rsid w:val="52856164"/>
    <w:rsid w:val="5287FF8E"/>
    <w:rsid w:val="5289FECE"/>
    <w:rsid w:val="528C79FF"/>
    <w:rsid w:val="529649E5"/>
    <w:rsid w:val="52A16245"/>
    <w:rsid w:val="52A2D246"/>
    <w:rsid w:val="52A50564"/>
    <w:rsid w:val="52ABE38F"/>
    <w:rsid w:val="52AF256A"/>
    <w:rsid w:val="52B3622C"/>
    <w:rsid w:val="52B480AA"/>
    <w:rsid w:val="52C166F8"/>
    <w:rsid w:val="52C6EC06"/>
    <w:rsid w:val="52C8A39B"/>
    <w:rsid w:val="52DBC290"/>
    <w:rsid w:val="52E18ACB"/>
    <w:rsid w:val="52EA7375"/>
    <w:rsid w:val="52F4FAAF"/>
    <w:rsid w:val="52F7BE9A"/>
    <w:rsid w:val="52F83FA6"/>
    <w:rsid w:val="52FC439F"/>
    <w:rsid w:val="52FEDE10"/>
    <w:rsid w:val="53074F6E"/>
    <w:rsid w:val="5308ED9D"/>
    <w:rsid w:val="5309A61E"/>
    <w:rsid w:val="530A89F6"/>
    <w:rsid w:val="53126B24"/>
    <w:rsid w:val="532572BF"/>
    <w:rsid w:val="53324A35"/>
    <w:rsid w:val="533D806E"/>
    <w:rsid w:val="533E35B8"/>
    <w:rsid w:val="533ED69C"/>
    <w:rsid w:val="5340358A"/>
    <w:rsid w:val="534C7459"/>
    <w:rsid w:val="534F4A39"/>
    <w:rsid w:val="5353D168"/>
    <w:rsid w:val="535B2354"/>
    <w:rsid w:val="535F5207"/>
    <w:rsid w:val="5367A6B7"/>
    <w:rsid w:val="536B173F"/>
    <w:rsid w:val="537D9978"/>
    <w:rsid w:val="5381E63B"/>
    <w:rsid w:val="539512FA"/>
    <w:rsid w:val="53996F07"/>
    <w:rsid w:val="53A04ED6"/>
    <w:rsid w:val="53A0BBB9"/>
    <w:rsid w:val="53A111A5"/>
    <w:rsid w:val="53A1F052"/>
    <w:rsid w:val="53A7C736"/>
    <w:rsid w:val="53B6CA32"/>
    <w:rsid w:val="53B75694"/>
    <w:rsid w:val="53D505B8"/>
    <w:rsid w:val="53D5448C"/>
    <w:rsid w:val="53DC5A5E"/>
    <w:rsid w:val="53E34EF1"/>
    <w:rsid w:val="53ECDE8C"/>
    <w:rsid w:val="53FA2AE9"/>
    <w:rsid w:val="53FB8488"/>
    <w:rsid w:val="54159CE7"/>
    <w:rsid w:val="5415E385"/>
    <w:rsid w:val="5419CE7B"/>
    <w:rsid w:val="541A0AA9"/>
    <w:rsid w:val="541C8BF0"/>
    <w:rsid w:val="541CC277"/>
    <w:rsid w:val="543A431B"/>
    <w:rsid w:val="543D789F"/>
    <w:rsid w:val="5440EAA1"/>
    <w:rsid w:val="544240CF"/>
    <w:rsid w:val="5444DE27"/>
    <w:rsid w:val="5446D35B"/>
    <w:rsid w:val="544C055B"/>
    <w:rsid w:val="5454CCD2"/>
    <w:rsid w:val="545848D0"/>
    <w:rsid w:val="54588BE8"/>
    <w:rsid w:val="5458CC0B"/>
    <w:rsid w:val="54680FD4"/>
    <w:rsid w:val="5473AC83"/>
    <w:rsid w:val="547A9888"/>
    <w:rsid w:val="548957C0"/>
    <w:rsid w:val="5498FAE3"/>
    <w:rsid w:val="549CDC0B"/>
    <w:rsid w:val="54A3EFB1"/>
    <w:rsid w:val="54A6AB7D"/>
    <w:rsid w:val="54AE895E"/>
    <w:rsid w:val="54B0365F"/>
    <w:rsid w:val="54B3991F"/>
    <w:rsid w:val="54B4F9E5"/>
    <w:rsid w:val="54BB9903"/>
    <w:rsid w:val="54C26C77"/>
    <w:rsid w:val="54C3ACA9"/>
    <w:rsid w:val="54C57AAF"/>
    <w:rsid w:val="54C6A7C7"/>
    <w:rsid w:val="54ED7CE4"/>
    <w:rsid w:val="54EDF93F"/>
    <w:rsid w:val="54F6EF21"/>
    <w:rsid w:val="54F81570"/>
    <w:rsid w:val="550321B9"/>
    <w:rsid w:val="5505E06A"/>
    <w:rsid w:val="55134F27"/>
    <w:rsid w:val="55194DB8"/>
    <w:rsid w:val="552467FC"/>
    <w:rsid w:val="5527ECAC"/>
    <w:rsid w:val="5533E0EA"/>
    <w:rsid w:val="5536348C"/>
    <w:rsid w:val="5539D537"/>
    <w:rsid w:val="553C0421"/>
    <w:rsid w:val="55434C0E"/>
    <w:rsid w:val="55476E57"/>
    <w:rsid w:val="554A015A"/>
    <w:rsid w:val="554F25CE"/>
    <w:rsid w:val="55547D41"/>
    <w:rsid w:val="555BD2D5"/>
    <w:rsid w:val="555C0F69"/>
    <w:rsid w:val="556A95E1"/>
    <w:rsid w:val="556C3474"/>
    <w:rsid w:val="557409A3"/>
    <w:rsid w:val="5579C854"/>
    <w:rsid w:val="55836053"/>
    <w:rsid w:val="558BDB79"/>
    <w:rsid w:val="558CE6A9"/>
    <w:rsid w:val="55A3F117"/>
    <w:rsid w:val="55A707FD"/>
    <w:rsid w:val="55B3E6B1"/>
    <w:rsid w:val="55C48D5E"/>
    <w:rsid w:val="55D20D4E"/>
    <w:rsid w:val="55D45AD0"/>
    <w:rsid w:val="55DA6C63"/>
    <w:rsid w:val="55DBB350"/>
    <w:rsid w:val="55DBE5EF"/>
    <w:rsid w:val="55E7E4E4"/>
    <w:rsid w:val="55F47327"/>
    <w:rsid w:val="55F822DA"/>
    <w:rsid w:val="55F9FEA4"/>
    <w:rsid w:val="560B4A43"/>
    <w:rsid w:val="561D76A1"/>
    <w:rsid w:val="56226618"/>
    <w:rsid w:val="563070E3"/>
    <w:rsid w:val="5630E8F7"/>
    <w:rsid w:val="56350232"/>
    <w:rsid w:val="5635AC39"/>
    <w:rsid w:val="563A68A5"/>
    <w:rsid w:val="564CA835"/>
    <w:rsid w:val="564E7DDB"/>
    <w:rsid w:val="56555337"/>
    <w:rsid w:val="565BEC63"/>
    <w:rsid w:val="565E456E"/>
    <w:rsid w:val="5660CADA"/>
    <w:rsid w:val="5664D473"/>
    <w:rsid w:val="566512E8"/>
    <w:rsid w:val="5665FFF9"/>
    <w:rsid w:val="566903ED"/>
    <w:rsid w:val="566E1937"/>
    <w:rsid w:val="5676FE9A"/>
    <w:rsid w:val="5678550D"/>
    <w:rsid w:val="56A92672"/>
    <w:rsid w:val="56A9E53E"/>
    <w:rsid w:val="56C85C38"/>
    <w:rsid w:val="56D931F6"/>
    <w:rsid w:val="56E8970E"/>
    <w:rsid w:val="56EFFC73"/>
    <w:rsid w:val="56F262E3"/>
    <w:rsid w:val="56F2A4EE"/>
    <w:rsid w:val="56FBF3F1"/>
    <w:rsid w:val="57015710"/>
    <w:rsid w:val="570A7AFE"/>
    <w:rsid w:val="570B6EE3"/>
    <w:rsid w:val="57104E4E"/>
    <w:rsid w:val="5710E0D7"/>
    <w:rsid w:val="57134543"/>
    <w:rsid w:val="571363A8"/>
    <w:rsid w:val="5718A05B"/>
    <w:rsid w:val="57199A4C"/>
    <w:rsid w:val="571DB08F"/>
    <w:rsid w:val="571DC43E"/>
    <w:rsid w:val="5723798D"/>
    <w:rsid w:val="572E8D79"/>
    <w:rsid w:val="57317E9B"/>
    <w:rsid w:val="57352633"/>
    <w:rsid w:val="5748BBA7"/>
    <w:rsid w:val="57566259"/>
    <w:rsid w:val="57567884"/>
    <w:rsid w:val="5759C8A1"/>
    <w:rsid w:val="575B27B6"/>
    <w:rsid w:val="57690B61"/>
    <w:rsid w:val="576E20BB"/>
    <w:rsid w:val="57712FCA"/>
    <w:rsid w:val="57729756"/>
    <w:rsid w:val="5775101C"/>
    <w:rsid w:val="577D226E"/>
    <w:rsid w:val="57807457"/>
    <w:rsid w:val="578133F0"/>
    <w:rsid w:val="5784E30A"/>
    <w:rsid w:val="5788C182"/>
    <w:rsid w:val="578BEF71"/>
    <w:rsid w:val="578F0088"/>
    <w:rsid w:val="579215C7"/>
    <w:rsid w:val="579279A1"/>
    <w:rsid w:val="5797BA33"/>
    <w:rsid w:val="579D9B98"/>
    <w:rsid w:val="57A02A38"/>
    <w:rsid w:val="57A2BBC6"/>
    <w:rsid w:val="57AA8E8F"/>
    <w:rsid w:val="57AD33E7"/>
    <w:rsid w:val="57B9BA13"/>
    <w:rsid w:val="57BFD2C7"/>
    <w:rsid w:val="57C37EA1"/>
    <w:rsid w:val="57CCE8BC"/>
    <w:rsid w:val="57D47B38"/>
    <w:rsid w:val="57E2BA87"/>
    <w:rsid w:val="57E7B2B5"/>
    <w:rsid w:val="57EE0072"/>
    <w:rsid w:val="57EF857E"/>
    <w:rsid w:val="57F0D685"/>
    <w:rsid w:val="57F21583"/>
    <w:rsid w:val="57FDC3C8"/>
    <w:rsid w:val="58026CE2"/>
    <w:rsid w:val="581CB466"/>
    <w:rsid w:val="5826B1EA"/>
    <w:rsid w:val="582DD2EB"/>
    <w:rsid w:val="585ECC81"/>
    <w:rsid w:val="586259D5"/>
    <w:rsid w:val="58721C31"/>
    <w:rsid w:val="58732EDE"/>
    <w:rsid w:val="5875B6EB"/>
    <w:rsid w:val="587F6501"/>
    <w:rsid w:val="58824C29"/>
    <w:rsid w:val="5882B331"/>
    <w:rsid w:val="5897008C"/>
    <w:rsid w:val="58A126F4"/>
    <w:rsid w:val="58A46DEF"/>
    <w:rsid w:val="58AFB0B3"/>
    <w:rsid w:val="58B238CB"/>
    <w:rsid w:val="58B9113E"/>
    <w:rsid w:val="58C0B11B"/>
    <w:rsid w:val="58C85620"/>
    <w:rsid w:val="58C985E6"/>
    <w:rsid w:val="58CF25F9"/>
    <w:rsid w:val="58D670EA"/>
    <w:rsid w:val="58D6A2E0"/>
    <w:rsid w:val="58DE4848"/>
    <w:rsid w:val="58E1F50E"/>
    <w:rsid w:val="58F6D0D9"/>
    <w:rsid w:val="58FAF5FE"/>
    <w:rsid w:val="59040F3E"/>
    <w:rsid w:val="5904C964"/>
    <w:rsid w:val="5906D334"/>
    <w:rsid w:val="59073A1C"/>
    <w:rsid w:val="59137EFD"/>
    <w:rsid w:val="5918092A"/>
    <w:rsid w:val="591EFE2B"/>
    <w:rsid w:val="5936CF85"/>
    <w:rsid w:val="594736FE"/>
    <w:rsid w:val="594C6CFF"/>
    <w:rsid w:val="59512682"/>
    <w:rsid w:val="595ABF33"/>
    <w:rsid w:val="59610B07"/>
    <w:rsid w:val="59629E2C"/>
    <w:rsid w:val="596F3A05"/>
    <w:rsid w:val="59790402"/>
    <w:rsid w:val="597B1273"/>
    <w:rsid w:val="59A2AD42"/>
    <w:rsid w:val="59AB21EB"/>
    <w:rsid w:val="59AD74A5"/>
    <w:rsid w:val="59BB50EC"/>
    <w:rsid w:val="59BDC786"/>
    <w:rsid w:val="59C10E04"/>
    <w:rsid w:val="59C8ABD7"/>
    <w:rsid w:val="59CD3D8A"/>
    <w:rsid w:val="59ECC973"/>
    <w:rsid w:val="59EF2B14"/>
    <w:rsid w:val="59F371DE"/>
    <w:rsid w:val="59F53846"/>
    <w:rsid w:val="59FF43E5"/>
    <w:rsid w:val="5A00312B"/>
    <w:rsid w:val="5A00BAA4"/>
    <w:rsid w:val="5A014805"/>
    <w:rsid w:val="5A02D987"/>
    <w:rsid w:val="5A0A74AC"/>
    <w:rsid w:val="5A1E7800"/>
    <w:rsid w:val="5A35E1F0"/>
    <w:rsid w:val="5A3B0780"/>
    <w:rsid w:val="5A4B890F"/>
    <w:rsid w:val="5A56CE6B"/>
    <w:rsid w:val="5A576ABA"/>
    <w:rsid w:val="5A5C8A15"/>
    <w:rsid w:val="5A6791FA"/>
    <w:rsid w:val="5A6FA585"/>
    <w:rsid w:val="5A74E306"/>
    <w:rsid w:val="5A7B86CE"/>
    <w:rsid w:val="5A80F3D2"/>
    <w:rsid w:val="5A83174C"/>
    <w:rsid w:val="5A8C980D"/>
    <w:rsid w:val="5A949B50"/>
    <w:rsid w:val="5A94CE21"/>
    <w:rsid w:val="5A99160E"/>
    <w:rsid w:val="5AA18104"/>
    <w:rsid w:val="5AC9BB15"/>
    <w:rsid w:val="5ACDB145"/>
    <w:rsid w:val="5AD06029"/>
    <w:rsid w:val="5AD29E1A"/>
    <w:rsid w:val="5AE43EDF"/>
    <w:rsid w:val="5AF24927"/>
    <w:rsid w:val="5AF56266"/>
    <w:rsid w:val="5B0050B4"/>
    <w:rsid w:val="5B00B9CB"/>
    <w:rsid w:val="5B1299BD"/>
    <w:rsid w:val="5B12C9C1"/>
    <w:rsid w:val="5B2A2201"/>
    <w:rsid w:val="5B3FABC6"/>
    <w:rsid w:val="5B3FDEA0"/>
    <w:rsid w:val="5B5E4849"/>
    <w:rsid w:val="5B67EC70"/>
    <w:rsid w:val="5B6EAC75"/>
    <w:rsid w:val="5B7031BC"/>
    <w:rsid w:val="5B7D7922"/>
    <w:rsid w:val="5B7E4A60"/>
    <w:rsid w:val="5B875438"/>
    <w:rsid w:val="5B8DAC60"/>
    <w:rsid w:val="5B9053AA"/>
    <w:rsid w:val="5B95A6C6"/>
    <w:rsid w:val="5B9B67B9"/>
    <w:rsid w:val="5BA00DA0"/>
    <w:rsid w:val="5BA19551"/>
    <w:rsid w:val="5BAB64BC"/>
    <w:rsid w:val="5BAF51D3"/>
    <w:rsid w:val="5BB6B01B"/>
    <w:rsid w:val="5BBC4F15"/>
    <w:rsid w:val="5BC4CF57"/>
    <w:rsid w:val="5BCD48C2"/>
    <w:rsid w:val="5BCF6144"/>
    <w:rsid w:val="5BD10BF2"/>
    <w:rsid w:val="5BE0179D"/>
    <w:rsid w:val="5BEB90F8"/>
    <w:rsid w:val="5BEEC35D"/>
    <w:rsid w:val="5BF036A3"/>
    <w:rsid w:val="5BF4C430"/>
    <w:rsid w:val="5BFD12D8"/>
    <w:rsid w:val="5C078161"/>
    <w:rsid w:val="5C1C0113"/>
    <w:rsid w:val="5C233884"/>
    <w:rsid w:val="5C27BCD9"/>
    <w:rsid w:val="5C2F2197"/>
    <w:rsid w:val="5C4636A2"/>
    <w:rsid w:val="5C56D4D9"/>
    <w:rsid w:val="5C580A86"/>
    <w:rsid w:val="5C808A54"/>
    <w:rsid w:val="5C80D88E"/>
    <w:rsid w:val="5C8A6307"/>
    <w:rsid w:val="5C925263"/>
    <w:rsid w:val="5C96B15A"/>
    <w:rsid w:val="5C9D0175"/>
    <w:rsid w:val="5CBF82B6"/>
    <w:rsid w:val="5CD85D64"/>
    <w:rsid w:val="5CE18936"/>
    <w:rsid w:val="5CECE6B7"/>
    <w:rsid w:val="5CF866B7"/>
    <w:rsid w:val="5D01AC86"/>
    <w:rsid w:val="5D02F74D"/>
    <w:rsid w:val="5D100E6B"/>
    <w:rsid w:val="5D13F0A0"/>
    <w:rsid w:val="5D199940"/>
    <w:rsid w:val="5D2300D6"/>
    <w:rsid w:val="5D29E47A"/>
    <w:rsid w:val="5D2C77FC"/>
    <w:rsid w:val="5D3D6EA5"/>
    <w:rsid w:val="5D450C5B"/>
    <w:rsid w:val="5D52A5FB"/>
    <w:rsid w:val="5D5993B6"/>
    <w:rsid w:val="5D5A75DB"/>
    <w:rsid w:val="5D5E36A6"/>
    <w:rsid w:val="5D5ED7BB"/>
    <w:rsid w:val="5D5FC365"/>
    <w:rsid w:val="5D69AF73"/>
    <w:rsid w:val="5D6C1414"/>
    <w:rsid w:val="5D795B54"/>
    <w:rsid w:val="5D87AE43"/>
    <w:rsid w:val="5D8904B4"/>
    <w:rsid w:val="5D8BD6D2"/>
    <w:rsid w:val="5D95105B"/>
    <w:rsid w:val="5D957A43"/>
    <w:rsid w:val="5D95EF67"/>
    <w:rsid w:val="5D96B2D7"/>
    <w:rsid w:val="5D99BDFA"/>
    <w:rsid w:val="5DA19E6F"/>
    <w:rsid w:val="5DA463A8"/>
    <w:rsid w:val="5DAB8CCC"/>
    <w:rsid w:val="5DB0E977"/>
    <w:rsid w:val="5DB47649"/>
    <w:rsid w:val="5DB49966"/>
    <w:rsid w:val="5DB4CB94"/>
    <w:rsid w:val="5DC237C1"/>
    <w:rsid w:val="5DC6F90B"/>
    <w:rsid w:val="5DD33CE7"/>
    <w:rsid w:val="5DD4F10E"/>
    <w:rsid w:val="5DDDD2CD"/>
    <w:rsid w:val="5DDEA5A7"/>
    <w:rsid w:val="5DDF8A80"/>
    <w:rsid w:val="5DFFF23E"/>
    <w:rsid w:val="5E135739"/>
    <w:rsid w:val="5E2E772A"/>
    <w:rsid w:val="5E2EBC54"/>
    <w:rsid w:val="5E34B9EC"/>
    <w:rsid w:val="5E48C31D"/>
    <w:rsid w:val="5E4D997D"/>
    <w:rsid w:val="5E4FEE28"/>
    <w:rsid w:val="5E52394C"/>
    <w:rsid w:val="5E540378"/>
    <w:rsid w:val="5E569F4D"/>
    <w:rsid w:val="5E573DB3"/>
    <w:rsid w:val="5E5F3F61"/>
    <w:rsid w:val="5E621124"/>
    <w:rsid w:val="5E626AC1"/>
    <w:rsid w:val="5E6387D9"/>
    <w:rsid w:val="5E7153FA"/>
    <w:rsid w:val="5E751AEA"/>
    <w:rsid w:val="5E7C33AB"/>
    <w:rsid w:val="5E80FA8B"/>
    <w:rsid w:val="5E81020C"/>
    <w:rsid w:val="5E963171"/>
    <w:rsid w:val="5E9ACE0D"/>
    <w:rsid w:val="5E9D191D"/>
    <w:rsid w:val="5EA2CD0D"/>
    <w:rsid w:val="5EA9B2AA"/>
    <w:rsid w:val="5EB445CF"/>
    <w:rsid w:val="5EC949E4"/>
    <w:rsid w:val="5ECA89BD"/>
    <w:rsid w:val="5ED7E615"/>
    <w:rsid w:val="5ED7F69A"/>
    <w:rsid w:val="5EDBC1B0"/>
    <w:rsid w:val="5EDE5A10"/>
    <w:rsid w:val="5EE0B3C5"/>
    <w:rsid w:val="5EE9D082"/>
    <w:rsid w:val="5EEDB965"/>
    <w:rsid w:val="5EF63376"/>
    <w:rsid w:val="5EF96DE1"/>
    <w:rsid w:val="5EFCFBFE"/>
    <w:rsid w:val="5F01E2EE"/>
    <w:rsid w:val="5F11035A"/>
    <w:rsid w:val="5F13380B"/>
    <w:rsid w:val="5F13C7A4"/>
    <w:rsid w:val="5F1EFE8D"/>
    <w:rsid w:val="5F201EC6"/>
    <w:rsid w:val="5F2085CE"/>
    <w:rsid w:val="5F35D782"/>
    <w:rsid w:val="5F40542B"/>
    <w:rsid w:val="5F4A4FB2"/>
    <w:rsid w:val="5F56BAF1"/>
    <w:rsid w:val="5F5BB85B"/>
    <w:rsid w:val="5F5C9745"/>
    <w:rsid w:val="5F60BF97"/>
    <w:rsid w:val="5F6A4DAA"/>
    <w:rsid w:val="5F6FCC16"/>
    <w:rsid w:val="5F732EFB"/>
    <w:rsid w:val="5F7D9B90"/>
    <w:rsid w:val="5F992E3D"/>
    <w:rsid w:val="5F9A9835"/>
    <w:rsid w:val="5FB54122"/>
    <w:rsid w:val="5FB8E74F"/>
    <w:rsid w:val="5FC1C99C"/>
    <w:rsid w:val="5FC3053F"/>
    <w:rsid w:val="5FC5C61D"/>
    <w:rsid w:val="5FE66C34"/>
    <w:rsid w:val="5FF99F84"/>
    <w:rsid w:val="5FFA0E37"/>
    <w:rsid w:val="6005F5F2"/>
    <w:rsid w:val="6011A958"/>
    <w:rsid w:val="60169A12"/>
    <w:rsid w:val="60258A99"/>
    <w:rsid w:val="603FF289"/>
    <w:rsid w:val="6043C093"/>
    <w:rsid w:val="604B7DD0"/>
    <w:rsid w:val="605EB461"/>
    <w:rsid w:val="607149F3"/>
    <w:rsid w:val="60797347"/>
    <w:rsid w:val="608B6AF0"/>
    <w:rsid w:val="608D11C1"/>
    <w:rsid w:val="609FFB2F"/>
    <w:rsid w:val="60A320C8"/>
    <w:rsid w:val="60A3B4D6"/>
    <w:rsid w:val="60A84F5B"/>
    <w:rsid w:val="60AE3616"/>
    <w:rsid w:val="60AF086C"/>
    <w:rsid w:val="60B78EFA"/>
    <w:rsid w:val="60CAA8EE"/>
    <w:rsid w:val="60CC25A8"/>
    <w:rsid w:val="60DAA71A"/>
    <w:rsid w:val="60E0F123"/>
    <w:rsid w:val="60E8E3D0"/>
    <w:rsid w:val="60F6AB18"/>
    <w:rsid w:val="60FAE7BA"/>
    <w:rsid w:val="6105312A"/>
    <w:rsid w:val="6106B851"/>
    <w:rsid w:val="61092826"/>
    <w:rsid w:val="611077B5"/>
    <w:rsid w:val="611475BD"/>
    <w:rsid w:val="611BF36D"/>
    <w:rsid w:val="611EDE85"/>
    <w:rsid w:val="6123CA6C"/>
    <w:rsid w:val="6141662D"/>
    <w:rsid w:val="615FDD64"/>
    <w:rsid w:val="615FEF19"/>
    <w:rsid w:val="6163A40D"/>
    <w:rsid w:val="6167A701"/>
    <w:rsid w:val="616B081B"/>
    <w:rsid w:val="6181D5A8"/>
    <w:rsid w:val="618E6429"/>
    <w:rsid w:val="619423A6"/>
    <w:rsid w:val="619CC4E7"/>
    <w:rsid w:val="61A6582A"/>
    <w:rsid w:val="61AAE012"/>
    <w:rsid w:val="61B4AD31"/>
    <w:rsid w:val="61DC0FED"/>
    <w:rsid w:val="61E23253"/>
    <w:rsid w:val="61E30AF1"/>
    <w:rsid w:val="61E39902"/>
    <w:rsid w:val="61EB803C"/>
    <w:rsid w:val="61EBBCB2"/>
    <w:rsid w:val="61FBF13C"/>
    <w:rsid w:val="62089B5D"/>
    <w:rsid w:val="620B37DC"/>
    <w:rsid w:val="620F13F4"/>
    <w:rsid w:val="62131A38"/>
    <w:rsid w:val="622559FA"/>
    <w:rsid w:val="622790C9"/>
    <w:rsid w:val="6228E222"/>
    <w:rsid w:val="622F7ECC"/>
    <w:rsid w:val="623F8537"/>
    <w:rsid w:val="62493006"/>
    <w:rsid w:val="625888C5"/>
    <w:rsid w:val="6261A5D5"/>
    <w:rsid w:val="6262648B"/>
    <w:rsid w:val="6265CDC5"/>
    <w:rsid w:val="627029A6"/>
    <w:rsid w:val="6291C8F0"/>
    <w:rsid w:val="6292CB36"/>
    <w:rsid w:val="6299AC78"/>
    <w:rsid w:val="62A6CD05"/>
    <w:rsid w:val="62AA3331"/>
    <w:rsid w:val="62BD0452"/>
    <w:rsid w:val="62CFF49B"/>
    <w:rsid w:val="62F2094D"/>
    <w:rsid w:val="62F29404"/>
    <w:rsid w:val="62F34D6D"/>
    <w:rsid w:val="62F5437D"/>
    <w:rsid w:val="63071760"/>
    <w:rsid w:val="630C1DBA"/>
    <w:rsid w:val="6318C176"/>
    <w:rsid w:val="63192718"/>
    <w:rsid w:val="631BB6CE"/>
    <w:rsid w:val="631BF543"/>
    <w:rsid w:val="6324403D"/>
    <w:rsid w:val="63252082"/>
    <w:rsid w:val="6326CC1C"/>
    <w:rsid w:val="6334B1C6"/>
    <w:rsid w:val="633E2E11"/>
    <w:rsid w:val="6344EDDD"/>
    <w:rsid w:val="634ABA93"/>
    <w:rsid w:val="634BB209"/>
    <w:rsid w:val="634BE16D"/>
    <w:rsid w:val="635108EF"/>
    <w:rsid w:val="63608058"/>
    <w:rsid w:val="63613B37"/>
    <w:rsid w:val="63621AB0"/>
    <w:rsid w:val="636B7C52"/>
    <w:rsid w:val="6370483A"/>
    <w:rsid w:val="6370BF10"/>
    <w:rsid w:val="637AAD6D"/>
    <w:rsid w:val="63893D40"/>
    <w:rsid w:val="638CA522"/>
    <w:rsid w:val="638E48D7"/>
    <w:rsid w:val="6392CC40"/>
    <w:rsid w:val="639CC073"/>
    <w:rsid w:val="63AA2384"/>
    <w:rsid w:val="63B2445C"/>
    <w:rsid w:val="63B62623"/>
    <w:rsid w:val="63B86ECA"/>
    <w:rsid w:val="63BAFA11"/>
    <w:rsid w:val="63BD5023"/>
    <w:rsid w:val="63C28C4C"/>
    <w:rsid w:val="63CBCB46"/>
    <w:rsid w:val="63DFEC7E"/>
    <w:rsid w:val="63E4A89C"/>
    <w:rsid w:val="63F4F5E4"/>
    <w:rsid w:val="63FC2532"/>
    <w:rsid w:val="64018EEB"/>
    <w:rsid w:val="641215A4"/>
    <w:rsid w:val="641C1971"/>
    <w:rsid w:val="6427F6D1"/>
    <w:rsid w:val="642C95BF"/>
    <w:rsid w:val="6430D540"/>
    <w:rsid w:val="6432A1D4"/>
    <w:rsid w:val="643ED428"/>
    <w:rsid w:val="6441A865"/>
    <w:rsid w:val="645442A3"/>
    <w:rsid w:val="645C2FD6"/>
    <w:rsid w:val="646BD1AA"/>
    <w:rsid w:val="646F8AED"/>
    <w:rsid w:val="6473BC66"/>
    <w:rsid w:val="64822112"/>
    <w:rsid w:val="6482CFF5"/>
    <w:rsid w:val="649E4711"/>
    <w:rsid w:val="64AB1FC0"/>
    <w:rsid w:val="64B48941"/>
    <w:rsid w:val="64B61891"/>
    <w:rsid w:val="64C445B6"/>
    <w:rsid w:val="64C5CDA9"/>
    <w:rsid w:val="64DE540E"/>
    <w:rsid w:val="64E17E84"/>
    <w:rsid w:val="64E99B1A"/>
    <w:rsid w:val="64EDD0C4"/>
    <w:rsid w:val="64F36515"/>
    <w:rsid w:val="64F46864"/>
    <w:rsid w:val="650411A6"/>
    <w:rsid w:val="65046F68"/>
    <w:rsid w:val="65055DC5"/>
    <w:rsid w:val="65084CB9"/>
    <w:rsid w:val="65093CA5"/>
    <w:rsid w:val="65097809"/>
    <w:rsid w:val="650C980A"/>
    <w:rsid w:val="651C5B98"/>
    <w:rsid w:val="6524C448"/>
    <w:rsid w:val="652834F0"/>
    <w:rsid w:val="653BBEC3"/>
    <w:rsid w:val="653BF194"/>
    <w:rsid w:val="654B1957"/>
    <w:rsid w:val="655127F1"/>
    <w:rsid w:val="6553B830"/>
    <w:rsid w:val="655C7C98"/>
    <w:rsid w:val="656304D8"/>
    <w:rsid w:val="656C3548"/>
    <w:rsid w:val="65770497"/>
    <w:rsid w:val="657F4B9B"/>
    <w:rsid w:val="6580C31F"/>
    <w:rsid w:val="659ADE05"/>
    <w:rsid w:val="65AD46A7"/>
    <w:rsid w:val="65B00D3B"/>
    <w:rsid w:val="65B37390"/>
    <w:rsid w:val="65C66849"/>
    <w:rsid w:val="65CCD9E2"/>
    <w:rsid w:val="65CFD29C"/>
    <w:rsid w:val="65DA19B0"/>
    <w:rsid w:val="65DA3FE2"/>
    <w:rsid w:val="65E0FCCA"/>
    <w:rsid w:val="65E1C7C6"/>
    <w:rsid w:val="65E8D1F3"/>
    <w:rsid w:val="65EE7E16"/>
    <w:rsid w:val="66034F5A"/>
    <w:rsid w:val="66132C4F"/>
    <w:rsid w:val="66167168"/>
    <w:rsid w:val="66247BE6"/>
    <w:rsid w:val="6631AEDD"/>
    <w:rsid w:val="663BFDF6"/>
    <w:rsid w:val="6649569C"/>
    <w:rsid w:val="664D8C16"/>
    <w:rsid w:val="664EFD9B"/>
    <w:rsid w:val="6650E716"/>
    <w:rsid w:val="665D27FB"/>
    <w:rsid w:val="666C2678"/>
    <w:rsid w:val="66704C39"/>
    <w:rsid w:val="66740C18"/>
    <w:rsid w:val="6675101D"/>
    <w:rsid w:val="6681C3DD"/>
    <w:rsid w:val="66984481"/>
    <w:rsid w:val="6699FAC3"/>
    <w:rsid w:val="66AA3F6F"/>
    <w:rsid w:val="66B04BD2"/>
    <w:rsid w:val="66C9B024"/>
    <w:rsid w:val="66CE277F"/>
    <w:rsid w:val="66D13C47"/>
    <w:rsid w:val="66E321FB"/>
    <w:rsid w:val="66E62621"/>
    <w:rsid w:val="66EAF898"/>
    <w:rsid w:val="66ED313C"/>
    <w:rsid w:val="66EFD64A"/>
    <w:rsid w:val="66F801CF"/>
    <w:rsid w:val="672C8303"/>
    <w:rsid w:val="672CC807"/>
    <w:rsid w:val="672D8F14"/>
    <w:rsid w:val="67429329"/>
    <w:rsid w:val="675D9E70"/>
    <w:rsid w:val="675DB79B"/>
    <w:rsid w:val="6762FCCC"/>
    <w:rsid w:val="6774B4E9"/>
    <w:rsid w:val="6775B108"/>
    <w:rsid w:val="67790A54"/>
    <w:rsid w:val="67857915"/>
    <w:rsid w:val="67862291"/>
    <w:rsid w:val="67882368"/>
    <w:rsid w:val="678830E4"/>
    <w:rsid w:val="6790AFAA"/>
    <w:rsid w:val="6790C497"/>
    <w:rsid w:val="6794AE6C"/>
    <w:rsid w:val="67974BBB"/>
    <w:rsid w:val="67B84591"/>
    <w:rsid w:val="67D52574"/>
    <w:rsid w:val="67DD263E"/>
    <w:rsid w:val="67E21AFF"/>
    <w:rsid w:val="67E2813B"/>
    <w:rsid w:val="67E30EC9"/>
    <w:rsid w:val="67F7B68C"/>
    <w:rsid w:val="681803BB"/>
    <w:rsid w:val="681F7F72"/>
    <w:rsid w:val="6824AEE2"/>
    <w:rsid w:val="6825DA6E"/>
    <w:rsid w:val="6826DF1D"/>
    <w:rsid w:val="6831583C"/>
    <w:rsid w:val="68343F6C"/>
    <w:rsid w:val="6839EA7A"/>
    <w:rsid w:val="683C98EE"/>
    <w:rsid w:val="68423E2D"/>
    <w:rsid w:val="684589EA"/>
    <w:rsid w:val="684CFD1C"/>
    <w:rsid w:val="6850F1D4"/>
    <w:rsid w:val="685CA493"/>
    <w:rsid w:val="68609FFB"/>
    <w:rsid w:val="68614E38"/>
    <w:rsid w:val="6866CBA6"/>
    <w:rsid w:val="686BA6A8"/>
    <w:rsid w:val="6870BCD8"/>
    <w:rsid w:val="688537CE"/>
    <w:rsid w:val="68886136"/>
    <w:rsid w:val="68A0B716"/>
    <w:rsid w:val="68A0F1F4"/>
    <w:rsid w:val="68A31DF9"/>
    <w:rsid w:val="68AC1140"/>
    <w:rsid w:val="68B93EC6"/>
    <w:rsid w:val="68BD30E2"/>
    <w:rsid w:val="68BE7165"/>
    <w:rsid w:val="68CB24E2"/>
    <w:rsid w:val="68CC0CED"/>
    <w:rsid w:val="68D53878"/>
    <w:rsid w:val="68D676FF"/>
    <w:rsid w:val="68E11A7E"/>
    <w:rsid w:val="68EFA93E"/>
    <w:rsid w:val="68FDA772"/>
    <w:rsid w:val="68FE852C"/>
    <w:rsid w:val="69092BA1"/>
    <w:rsid w:val="690C2B55"/>
    <w:rsid w:val="6910A3DC"/>
    <w:rsid w:val="692A34BA"/>
    <w:rsid w:val="695771D6"/>
    <w:rsid w:val="695D3C8A"/>
    <w:rsid w:val="69621FB2"/>
    <w:rsid w:val="69697D4D"/>
    <w:rsid w:val="69766488"/>
    <w:rsid w:val="6976F0F6"/>
    <w:rsid w:val="697F6F53"/>
    <w:rsid w:val="6980D061"/>
    <w:rsid w:val="6982FC81"/>
    <w:rsid w:val="69886C49"/>
    <w:rsid w:val="6993B8EF"/>
    <w:rsid w:val="699A6C81"/>
    <w:rsid w:val="699F03B5"/>
    <w:rsid w:val="69AA1D6D"/>
    <w:rsid w:val="69CB731E"/>
    <w:rsid w:val="69D29A78"/>
    <w:rsid w:val="69D84735"/>
    <w:rsid w:val="69DF9184"/>
    <w:rsid w:val="69E68A6B"/>
    <w:rsid w:val="6A034430"/>
    <w:rsid w:val="6A0ACD9B"/>
    <w:rsid w:val="6A14AFF5"/>
    <w:rsid w:val="6A1802D8"/>
    <w:rsid w:val="6A1D8F2C"/>
    <w:rsid w:val="6A2C8357"/>
    <w:rsid w:val="6A31577E"/>
    <w:rsid w:val="6A3E4DDF"/>
    <w:rsid w:val="6A4548FC"/>
    <w:rsid w:val="6A49470A"/>
    <w:rsid w:val="6A5D6DF7"/>
    <w:rsid w:val="6A5F0029"/>
    <w:rsid w:val="6A655A13"/>
    <w:rsid w:val="6A68C8C9"/>
    <w:rsid w:val="6A6F92D3"/>
    <w:rsid w:val="6A775C34"/>
    <w:rsid w:val="6A7B1149"/>
    <w:rsid w:val="6A7C2ED9"/>
    <w:rsid w:val="6A7CA965"/>
    <w:rsid w:val="6A807B5C"/>
    <w:rsid w:val="6A86E4B3"/>
    <w:rsid w:val="6A920E22"/>
    <w:rsid w:val="6A939928"/>
    <w:rsid w:val="6A955517"/>
    <w:rsid w:val="6A96F48D"/>
    <w:rsid w:val="6AB21558"/>
    <w:rsid w:val="6ACF713F"/>
    <w:rsid w:val="6AD7EF6D"/>
    <w:rsid w:val="6AE2C96A"/>
    <w:rsid w:val="6AE3359A"/>
    <w:rsid w:val="6AEB21D4"/>
    <w:rsid w:val="6AF3E4E9"/>
    <w:rsid w:val="6B01EFF9"/>
    <w:rsid w:val="6B07384F"/>
    <w:rsid w:val="6B126025"/>
    <w:rsid w:val="6B1DD60B"/>
    <w:rsid w:val="6B1FA9F7"/>
    <w:rsid w:val="6B23CA58"/>
    <w:rsid w:val="6B2587B0"/>
    <w:rsid w:val="6B29B40D"/>
    <w:rsid w:val="6B31AA96"/>
    <w:rsid w:val="6B34697D"/>
    <w:rsid w:val="6B3F517F"/>
    <w:rsid w:val="6B52F44C"/>
    <w:rsid w:val="6B536D32"/>
    <w:rsid w:val="6B53BC37"/>
    <w:rsid w:val="6B5FD303"/>
    <w:rsid w:val="6B603818"/>
    <w:rsid w:val="6B62DA8C"/>
    <w:rsid w:val="6B639E98"/>
    <w:rsid w:val="6B669F18"/>
    <w:rsid w:val="6B67E62E"/>
    <w:rsid w:val="6B680291"/>
    <w:rsid w:val="6B68C793"/>
    <w:rsid w:val="6B6B282A"/>
    <w:rsid w:val="6B762761"/>
    <w:rsid w:val="6B8598E2"/>
    <w:rsid w:val="6B9FB2FC"/>
    <w:rsid w:val="6BA2B116"/>
    <w:rsid w:val="6BA998C0"/>
    <w:rsid w:val="6BABFCD8"/>
    <w:rsid w:val="6BC72971"/>
    <w:rsid w:val="6BC79428"/>
    <w:rsid w:val="6BD508E3"/>
    <w:rsid w:val="6BDA6065"/>
    <w:rsid w:val="6BE3DDA3"/>
    <w:rsid w:val="6BE4C744"/>
    <w:rsid w:val="6BE890CF"/>
    <w:rsid w:val="6BF066B9"/>
    <w:rsid w:val="6BF15A22"/>
    <w:rsid w:val="6BF3B5DC"/>
    <w:rsid w:val="6BF6B341"/>
    <w:rsid w:val="6C003878"/>
    <w:rsid w:val="6C0257E7"/>
    <w:rsid w:val="6C0295A6"/>
    <w:rsid w:val="6C04EF1E"/>
    <w:rsid w:val="6C18C5A9"/>
    <w:rsid w:val="6C199938"/>
    <w:rsid w:val="6C1C8493"/>
    <w:rsid w:val="6C247330"/>
    <w:rsid w:val="6C2AC387"/>
    <w:rsid w:val="6C2CFEAD"/>
    <w:rsid w:val="6C315FBB"/>
    <w:rsid w:val="6C3160EE"/>
    <w:rsid w:val="6C31B0CC"/>
    <w:rsid w:val="6C3F1736"/>
    <w:rsid w:val="6C41C5FE"/>
    <w:rsid w:val="6C45D297"/>
    <w:rsid w:val="6C4F0E78"/>
    <w:rsid w:val="6C54CF1E"/>
    <w:rsid w:val="6C56661F"/>
    <w:rsid w:val="6C573F8F"/>
    <w:rsid w:val="6C647A29"/>
    <w:rsid w:val="6C6FD52C"/>
    <w:rsid w:val="6C72C1A7"/>
    <w:rsid w:val="6C82AA0B"/>
    <w:rsid w:val="6C911610"/>
    <w:rsid w:val="6C91333C"/>
    <w:rsid w:val="6C96D626"/>
    <w:rsid w:val="6CA1B2E4"/>
    <w:rsid w:val="6CAB0304"/>
    <w:rsid w:val="6CB7EBA3"/>
    <w:rsid w:val="6CBD22A2"/>
    <w:rsid w:val="6CBF7593"/>
    <w:rsid w:val="6CBFAFC7"/>
    <w:rsid w:val="6CC35D1A"/>
    <w:rsid w:val="6CD0FA9F"/>
    <w:rsid w:val="6CD36546"/>
    <w:rsid w:val="6CE9FE5A"/>
    <w:rsid w:val="6CEE970D"/>
    <w:rsid w:val="6CEFAB57"/>
    <w:rsid w:val="6CF075A5"/>
    <w:rsid w:val="6CF77A1E"/>
    <w:rsid w:val="6CF9ED2E"/>
    <w:rsid w:val="6D02F4DC"/>
    <w:rsid w:val="6D0C4A85"/>
    <w:rsid w:val="6D104B00"/>
    <w:rsid w:val="6D127FEB"/>
    <w:rsid w:val="6D14D963"/>
    <w:rsid w:val="6D152745"/>
    <w:rsid w:val="6D21E837"/>
    <w:rsid w:val="6D278400"/>
    <w:rsid w:val="6D3177A1"/>
    <w:rsid w:val="6D38774C"/>
    <w:rsid w:val="6D3882B1"/>
    <w:rsid w:val="6D4117A9"/>
    <w:rsid w:val="6D53B789"/>
    <w:rsid w:val="6D60A2B9"/>
    <w:rsid w:val="6D626D61"/>
    <w:rsid w:val="6D6368F3"/>
    <w:rsid w:val="6D6C3D86"/>
    <w:rsid w:val="6D6F3A09"/>
    <w:rsid w:val="6D70D944"/>
    <w:rsid w:val="6D7289E7"/>
    <w:rsid w:val="6D740F7A"/>
    <w:rsid w:val="6D7C2351"/>
    <w:rsid w:val="6D97FFA8"/>
    <w:rsid w:val="6D9CA85F"/>
    <w:rsid w:val="6DA0E0C9"/>
    <w:rsid w:val="6DAC46DF"/>
    <w:rsid w:val="6DAE657E"/>
    <w:rsid w:val="6DB5F37D"/>
    <w:rsid w:val="6DB62815"/>
    <w:rsid w:val="6DBE80CF"/>
    <w:rsid w:val="6DC709FE"/>
    <w:rsid w:val="6DD2B102"/>
    <w:rsid w:val="6DD80630"/>
    <w:rsid w:val="6DE34EA0"/>
    <w:rsid w:val="6DF13DCE"/>
    <w:rsid w:val="6DF2DA97"/>
    <w:rsid w:val="6DF2E909"/>
    <w:rsid w:val="6DF3A11D"/>
    <w:rsid w:val="6DF50DFC"/>
    <w:rsid w:val="6DFC16B8"/>
    <w:rsid w:val="6E05EFF7"/>
    <w:rsid w:val="6E0E7B87"/>
    <w:rsid w:val="6E11D8F4"/>
    <w:rsid w:val="6E147DC5"/>
    <w:rsid w:val="6E2B3EF1"/>
    <w:rsid w:val="6E328393"/>
    <w:rsid w:val="6E33CA6D"/>
    <w:rsid w:val="6E38F943"/>
    <w:rsid w:val="6E39F952"/>
    <w:rsid w:val="6E42B4CF"/>
    <w:rsid w:val="6E478BF8"/>
    <w:rsid w:val="6E590836"/>
    <w:rsid w:val="6E5DC7FF"/>
    <w:rsid w:val="6E603172"/>
    <w:rsid w:val="6E67F8BE"/>
    <w:rsid w:val="6E6ABA23"/>
    <w:rsid w:val="6E6B84E9"/>
    <w:rsid w:val="6E74A329"/>
    <w:rsid w:val="6E7D3959"/>
    <w:rsid w:val="6E7DAEF2"/>
    <w:rsid w:val="6E82224D"/>
    <w:rsid w:val="6E94BBFD"/>
    <w:rsid w:val="6EB6623D"/>
    <w:rsid w:val="6EC4E91A"/>
    <w:rsid w:val="6ECDE728"/>
    <w:rsid w:val="6EE6E1A4"/>
    <w:rsid w:val="6EE7E0B9"/>
    <w:rsid w:val="6EF0FD68"/>
    <w:rsid w:val="6EF6B2D3"/>
    <w:rsid w:val="6EF8D8CA"/>
    <w:rsid w:val="6EFEB707"/>
    <w:rsid w:val="6EFF6055"/>
    <w:rsid w:val="6F015AE4"/>
    <w:rsid w:val="6F23F5F8"/>
    <w:rsid w:val="6F272724"/>
    <w:rsid w:val="6F2B4C06"/>
    <w:rsid w:val="6F30DAC9"/>
    <w:rsid w:val="6F437749"/>
    <w:rsid w:val="6F497843"/>
    <w:rsid w:val="6F507BA5"/>
    <w:rsid w:val="6F66E96F"/>
    <w:rsid w:val="6F6DA1CF"/>
    <w:rsid w:val="6F6FE8E6"/>
    <w:rsid w:val="6F70FE81"/>
    <w:rsid w:val="6F7217CC"/>
    <w:rsid w:val="6F72E0F0"/>
    <w:rsid w:val="6F78A391"/>
    <w:rsid w:val="6F8ADA54"/>
    <w:rsid w:val="6F8DBEE0"/>
    <w:rsid w:val="6F97F647"/>
    <w:rsid w:val="6FA0E0E2"/>
    <w:rsid w:val="6FA3DD2C"/>
    <w:rsid w:val="6FA5C44D"/>
    <w:rsid w:val="6FAAFA11"/>
    <w:rsid w:val="6FB7AFE5"/>
    <w:rsid w:val="6FB81006"/>
    <w:rsid w:val="6FC8B1DA"/>
    <w:rsid w:val="6FD13074"/>
    <w:rsid w:val="6FD49A6C"/>
    <w:rsid w:val="6FD593ED"/>
    <w:rsid w:val="6FE78958"/>
    <w:rsid w:val="6FE8B748"/>
    <w:rsid w:val="6FEE37D8"/>
    <w:rsid w:val="6FF0E89B"/>
    <w:rsid w:val="6FFCEEF7"/>
    <w:rsid w:val="6FFDC812"/>
    <w:rsid w:val="6FFE851E"/>
    <w:rsid w:val="70012BD7"/>
    <w:rsid w:val="700979EE"/>
    <w:rsid w:val="700A50CA"/>
    <w:rsid w:val="700A788E"/>
    <w:rsid w:val="700C53FC"/>
    <w:rsid w:val="70100CC5"/>
    <w:rsid w:val="70144C17"/>
    <w:rsid w:val="7014DA45"/>
    <w:rsid w:val="7016E668"/>
    <w:rsid w:val="701A60E4"/>
    <w:rsid w:val="701D2CCC"/>
    <w:rsid w:val="7020C7AD"/>
    <w:rsid w:val="70217D34"/>
    <w:rsid w:val="70318FC8"/>
    <w:rsid w:val="703256A4"/>
    <w:rsid w:val="703A991B"/>
    <w:rsid w:val="703C3447"/>
    <w:rsid w:val="704274B9"/>
    <w:rsid w:val="70494F04"/>
    <w:rsid w:val="704A92CD"/>
    <w:rsid w:val="7056BE9B"/>
    <w:rsid w:val="705804EB"/>
    <w:rsid w:val="705BA650"/>
    <w:rsid w:val="705C2A43"/>
    <w:rsid w:val="70611993"/>
    <w:rsid w:val="706DFA41"/>
    <w:rsid w:val="707D0477"/>
    <w:rsid w:val="7084BBC2"/>
    <w:rsid w:val="7086929E"/>
    <w:rsid w:val="708B23C4"/>
    <w:rsid w:val="7091E0C8"/>
    <w:rsid w:val="70928334"/>
    <w:rsid w:val="70996A3E"/>
    <w:rsid w:val="70998D06"/>
    <w:rsid w:val="709DE806"/>
    <w:rsid w:val="709DFAC8"/>
    <w:rsid w:val="70A0ACD6"/>
    <w:rsid w:val="70A65DA2"/>
    <w:rsid w:val="70AA4F0C"/>
    <w:rsid w:val="70C23969"/>
    <w:rsid w:val="70C3454E"/>
    <w:rsid w:val="70DDD258"/>
    <w:rsid w:val="70DFB55D"/>
    <w:rsid w:val="70E1AB63"/>
    <w:rsid w:val="70F0BF20"/>
    <w:rsid w:val="70F78C12"/>
    <w:rsid w:val="71092FDC"/>
    <w:rsid w:val="7115CF4C"/>
    <w:rsid w:val="71183B31"/>
    <w:rsid w:val="71193578"/>
    <w:rsid w:val="711A5B6B"/>
    <w:rsid w:val="711CF554"/>
    <w:rsid w:val="7122B405"/>
    <w:rsid w:val="7135EC4D"/>
    <w:rsid w:val="713B4857"/>
    <w:rsid w:val="7146F1B0"/>
    <w:rsid w:val="715048FF"/>
    <w:rsid w:val="7160F50D"/>
    <w:rsid w:val="71643E8E"/>
    <w:rsid w:val="7167CE5A"/>
    <w:rsid w:val="716AD3B7"/>
    <w:rsid w:val="716C674E"/>
    <w:rsid w:val="716E16F4"/>
    <w:rsid w:val="7174BACE"/>
    <w:rsid w:val="7177CBB3"/>
    <w:rsid w:val="717F94E6"/>
    <w:rsid w:val="718CC157"/>
    <w:rsid w:val="71930C49"/>
    <w:rsid w:val="7196AFB4"/>
    <w:rsid w:val="719829C2"/>
    <w:rsid w:val="71AA2276"/>
    <w:rsid w:val="71AAE5E9"/>
    <w:rsid w:val="71B0C7D1"/>
    <w:rsid w:val="71B12332"/>
    <w:rsid w:val="71B308A6"/>
    <w:rsid w:val="71B90FBD"/>
    <w:rsid w:val="71B9ADC7"/>
    <w:rsid w:val="71BD201B"/>
    <w:rsid w:val="71C3AD36"/>
    <w:rsid w:val="71C66FBD"/>
    <w:rsid w:val="71CB39AD"/>
    <w:rsid w:val="71D384E6"/>
    <w:rsid w:val="71DD9D09"/>
    <w:rsid w:val="71DE001B"/>
    <w:rsid w:val="71E1C22E"/>
    <w:rsid w:val="71EA1D1B"/>
    <w:rsid w:val="71F2696F"/>
    <w:rsid w:val="71F36D3F"/>
    <w:rsid w:val="71F766ED"/>
    <w:rsid w:val="720225D7"/>
    <w:rsid w:val="721B4C77"/>
    <w:rsid w:val="72201326"/>
    <w:rsid w:val="7223857F"/>
    <w:rsid w:val="722B5483"/>
    <w:rsid w:val="7230798C"/>
    <w:rsid w:val="723E82B3"/>
    <w:rsid w:val="723F8FA2"/>
    <w:rsid w:val="72408129"/>
    <w:rsid w:val="724F377A"/>
    <w:rsid w:val="72536EC8"/>
    <w:rsid w:val="725E1486"/>
    <w:rsid w:val="7266356D"/>
    <w:rsid w:val="72710071"/>
    <w:rsid w:val="7278301E"/>
    <w:rsid w:val="727DC770"/>
    <w:rsid w:val="7287A454"/>
    <w:rsid w:val="728A9678"/>
    <w:rsid w:val="728ED468"/>
    <w:rsid w:val="72A43035"/>
    <w:rsid w:val="72A7663A"/>
    <w:rsid w:val="72B12816"/>
    <w:rsid w:val="72D242C6"/>
    <w:rsid w:val="72D70D58"/>
    <w:rsid w:val="72D9BBC7"/>
    <w:rsid w:val="72E3AB5F"/>
    <w:rsid w:val="72F325D8"/>
    <w:rsid w:val="72F37103"/>
    <w:rsid w:val="72F757E2"/>
    <w:rsid w:val="730730F8"/>
    <w:rsid w:val="7311EAA2"/>
    <w:rsid w:val="734BA777"/>
    <w:rsid w:val="736EDC0A"/>
    <w:rsid w:val="737053C7"/>
    <w:rsid w:val="7374ED01"/>
    <w:rsid w:val="7377D6C9"/>
    <w:rsid w:val="7382191C"/>
    <w:rsid w:val="73839FEB"/>
    <w:rsid w:val="738BCEC5"/>
    <w:rsid w:val="738F24E6"/>
    <w:rsid w:val="739B1AD8"/>
    <w:rsid w:val="73A32D93"/>
    <w:rsid w:val="73A5FA18"/>
    <w:rsid w:val="73A6A6E1"/>
    <w:rsid w:val="73A6AD11"/>
    <w:rsid w:val="73AD1D6D"/>
    <w:rsid w:val="73B2555E"/>
    <w:rsid w:val="73BF1E61"/>
    <w:rsid w:val="73D43773"/>
    <w:rsid w:val="73D63D36"/>
    <w:rsid w:val="73E674B7"/>
    <w:rsid w:val="73E957D7"/>
    <w:rsid w:val="73EB4F0F"/>
    <w:rsid w:val="73ECB0FD"/>
    <w:rsid w:val="73FF3287"/>
    <w:rsid w:val="73FF9075"/>
    <w:rsid w:val="7407161B"/>
    <w:rsid w:val="740A2735"/>
    <w:rsid w:val="741461B9"/>
    <w:rsid w:val="741C8C22"/>
    <w:rsid w:val="741D2E8E"/>
    <w:rsid w:val="74271E93"/>
    <w:rsid w:val="742B1571"/>
    <w:rsid w:val="7431411C"/>
    <w:rsid w:val="743570C5"/>
    <w:rsid w:val="74397A7B"/>
    <w:rsid w:val="743F5DFA"/>
    <w:rsid w:val="7443FDF1"/>
    <w:rsid w:val="7456FBC3"/>
    <w:rsid w:val="745D18E3"/>
    <w:rsid w:val="746B51C6"/>
    <w:rsid w:val="746BD775"/>
    <w:rsid w:val="7475E731"/>
    <w:rsid w:val="74776173"/>
    <w:rsid w:val="747C4AC3"/>
    <w:rsid w:val="747E0488"/>
    <w:rsid w:val="7488EA6F"/>
    <w:rsid w:val="74947441"/>
    <w:rsid w:val="7497D614"/>
    <w:rsid w:val="749FBDFD"/>
    <w:rsid w:val="74A2F17E"/>
    <w:rsid w:val="74A6D707"/>
    <w:rsid w:val="74AFCC9A"/>
    <w:rsid w:val="74B389EA"/>
    <w:rsid w:val="74C1779B"/>
    <w:rsid w:val="74C69ED3"/>
    <w:rsid w:val="74D5A3B1"/>
    <w:rsid w:val="74DDF524"/>
    <w:rsid w:val="74EBCCC3"/>
    <w:rsid w:val="74FD11FF"/>
    <w:rsid w:val="7502E821"/>
    <w:rsid w:val="7506C750"/>
    <w:rsid w:val="75073518"/>
    <w:rsid w:val="750A8833"/>
    <w:rsid w:val="750DB7BF"/>
    <w:rsid w:val="75131127"/>
    <w:rsid w:val="7514D699"/>
    <w:rsid w:val="7517EAD9"/>
    <w:rsid w:val="752B5295"/>
    <w:rsid w:val="7533E463"/>
    <w:rsid w:val="7534FAC6"/>
    <w:rsid w:val="75426C89"/>
    <w:rsid w:val="75462F94"/>
    <w:rsid w:val="75478079"/>
    <w:rsid w:val="754E194F"/>
    <w:rsid w:val="755702F4"/>
    <w:rsid w:val="75577868"/>
    <w:rsid w:val="755D36E7"/>
    <w:rsid w:val="755F2A5D"/>
    <w:rsid w:val="755F2EC0"/>
    <w:rsid w:val="7563F1E9"/>
    <w:rsid w:val="756551EB"/>
    <w:rsid w:val="75679B3A"/>
    <w:rsid w:val="756A4279"/>
    <w:rsid w:val="756F4B75"/>
    <w:rsid w:val="7581F616"/>
    <w:rsid w:val="75820413"/>
    <w:rsid w:val="75896BDD"/>
    <w:rsid w:val="7599D3CD"/>
    <w:rsid w:val="75A6A004"/>
    <w:rsid w:val="75ADE54E"/>
    <w:rsid w:val="75B7B207"/>
    <w:rsid w:val="75C0ECB3"/>
    <w:rsid w:val="75CC9478"/>
    <w:rsid w:val="75D08884"/>
    <w:rsid w:val="75D9CC00"/>
    <w:rsid w:val="75DB50A9"/>
    <w:rsid w:val="75DF2C42"/>
    <w:rsid w:val="75EA492D"/>
    <w:rsid w:val="75EFF95C"/>
    <w:rsid w:val="75F9E536"/>
    <w:rsid w:val="7600ACFC"/>
    <w:rsid w:val="7600DFCD"/>
    <w:rsid w:val="760B6C03"/>
    <w:rsid w:val="762374C9"/>
    <w:rsid w:val="762418ED"/>
    <w:rsid w:val="7624F5B1"/>
    <w:rsid w:val="762682D2"/>
    <w:rsid w:val="762D5D29"/>
    <w:rsid w:val="7633FC47"/>
    <w:rsid w:val="7638508D"/>
    <w:rsid w:val="763C02C3"/>
    <w:rsid w:val="763D53C5"/>
    <w:rsid w:val="765B03A4"/>
    <w:rsid w:val="766B4613"/>
    <w:rsid w:val="766C653B"/>
    <w:rsid w:val="766FFE07"/>
    <w:rsid w:val="7680B873"/>
    <w:rsid w:val="768EA762"/>
    <w:rsid w:val="7690ECA3"/>
    <w:rsid w:val="769469DD"/>
    <w:rsid w:val="76A30190"/>
    <w:rsid w:val="76C4D77D"/>
    <w:rsid w:val="76C6B61A"/>
    <w:rsid w:val="76CEAE66"/>
    <w:rsid w:val="76D7236C"/>
    <w:rsid w:val="76D9AECF"/>
    <w:rsid w:val="76DD57D3"/>
    <w:rsid w:val="76EA949A"/>
    <w:rsid w:val="76ECD99D"/>
    <w:rsid w:val="76ED72A2"/>
    <w:rsid w:val="76F46751"/>
    <w:rsid w:val="7703BE2C"/>
    <w:rsid w:val="7708DFF9"/>
    <w:rsid w:val="7713F907"/>
    <w:rsid w:val="771E5150"/>
    <w:rsid w:val="772C7827"/>
    <w:rsid w:val="7736C3A2"/>
    <w:rsid w:val="77477E34"/>
    <w:rsid w:val="774A4734"/>
    <w:rsid w:val="774C37A7"/>
    <w:rsid w:val="77526D15"/>
    <w:rsid w:val="77567FB7"/>
    <w:rsid w:val="775AD455"/>
    <w:rsid w:val="775DDB1E"/>
    <w:rsid w:val="775E7504"/>
    <w:rsid w:val="776074FA"/>
    <w:rsid w:val="7762B0F4"/>
    <w:rsid w:val="776C17DA"/>
    <w:rsid w:val="776FC441"/>
    <w:rsid w:val="7776C236"/>
    <w:rsid w:val="779128C8"/>
    <w:rsid w:val="779300A8"/>
    <w:rsid w:val="77931C82"/>
    <w:rsid w:val="779456D6"/>
    <w:rsid w:val="77B09C34"/>
    <w:rsid w:val="77B1179F"/>
    <w:rsid w:val="77B48107"/>
    <w:rsid w:val="77B55040"/>
    <w:rsid w:val="77BB2A3E"/>
    <w:rsid w:val="77C1FC4B"/>
    <w:rsid w:val="77C2C0B1"/>
    <w:rsid w:val="77C9F413"/>
    <w:rsid w:val="77D1937D"/>
    <w:rsid w:val="77D7D324"/>
    <w:rsid w:val="77DC200D"/>
    <w:rsid w:val="77E529EF"/>
    <w:rsid w:val="77E8595C"/>
    <w:rsid w:val="77EEA4C7"/>
    <w:rsid w:val="77F49E31"/>
    <w:rsid w:val="77F69BAF"/>
    <w:rsid w:val="77F7B2DA"/>
    <w:rsid w:val="77FF9749"/>
    <w:rsid w:val="78056D62"/>
    <w:rsid w:val="780BE94E"/>
    <w:rsid w:val="780E3ACC"/>
    <w:rsid w:val="78189F13"/>
    <w:rsid w:val="781C8577"/>
    <w:rsid w:val="7821D949"/>
    <w:rsid w:val="7826EF12"/>
    <w:rsid w:val="78281C5C"/>
    <w:rsid w:val="783AB5F7"/>
    <w:rsid w:val="7840BE23"/>
    <w:rsid w:val="784C7851"/>
    <w:rsid w:val="784CBFB3"/>
    <w:rsid w:val="78500426"/>
    <w:rsid w:val="78680BC6"/>
    <w:rsid w:val="786A6020"/>
    <w:rsid w:val="7876DA22"/>
    <w:rsid w:val="787A02B3"/>
    <w:rsid w:val="788935AC"/>
    <w:rsid w:val="7896F123"/>
    <w:rsid w:val="789A8536"/>
    <w:rsid w:val="789AF9BD"/>
    <w:rsid w:val="789B86DA"/>
    <w:rsid w:val="78A0E9E7"/>
    <w:rsid w:val="78A90678"/>
    <w:rsid w:val="78AB3C1F"/>
    <w:rsid w:val="78AEB6B1"/>
    <w:rsid w:val="78B08AEF"/>
    <w:rsid w:val="78BBD179"/>
    <w:rsid w:val="78BEF27C"/>
    <w:rsid w:val="78C00D3D"/>
    <w:rsid w:val="78C2AB20"/>
    <w:rsid w:val="78C75AFA"/>
    <w:rsid w:val="78D42D1E"/>
    <w:rsid w:val="78E273B8"/>
    <w:rsid w:val="78E9C217"/>
    <w:rsid w:val="78F610C0"/>
    <w:rsid w:val="78F64322"/>
    <w:rsid w:val="78F8E80A"/>
    <w:rsid w:val="7907F48C"/>
    <w:rsid w:val="79181F20"/>
    <w:rsid w:val="79185DEC"/>
    <w:rsid w:val="792D0208"/>
    <w:rsid w:val="792EB52C"/>
    <w:rsid w:val="7935C1B5"/>
    <w:rsid w:val="7939E0BA"/>
    <w:rsid w:val="79469BBE"/>
    <w:rsid w:val="794B0DD6"/>
    <w:rsid w:val="795410B1"/>
    <w:rsid w:val="795E3AB8"/>
    <w:rsid w:val="79622A63"/>
    <w:rsid w:val="7966A2B5"/>
    <w:rsid w:val="79734540"/>
    <w:rsid w:val="797A55A6"/>
    <w:rsid w:val="797B7469"/>
    <w:rsid w:val="797DFC2E"/>
    <w:rsid w:val="7982FEFE"/>
    <w:rsid w:val="798438B8"/>
    <w:rsid w:val="7991AC44"/>
    <w:rsid w:val="7992A938"/>
    <w:rsid w:val="7999708E"/>
    <w:rsid w:val="799EBE3C"/>
    <w:rsid w:val="79B3B572"/>
    <w:rsid w:val="79C2B8E2"/>
    <w:rsid w:val="79C6CA08"/>
    <w:rsid w:val="79CC30C3"/>
    <w:rsid w:val="79DDD5E4"/>
    <w:rsid w:val="79E12575"/>
    <w:rsid w:val="79EB2B41"/>
    <w:rsid w:val="79EE0BC3"/>
    <w:rsid w:val="79EE7242"/>
    <w:rsid w:val="79EF438C"/>
    <w:rsid w:val="79F6298A"/>
    <w:rsid w:val="79F7F531"/>
    <w:rsid w:val="7A11757E"/>
    <w:rsid w:val="7A180A50"/>
    <w:rsid w:val="7A1F50F1"/>
    <w:rsid w:val="7A24A8C8"/>
    <w:rsid w:val="7A389BC0"/>
    <w:rsid w:val="7A3BD959"/>
    <w:rsid w:val="7A3C2744"/>
    <w:rsid w:val="7A43018B"/>
    <w:rsid w:val="7A51D8A3"/>
    <w:rsid w:val="7A526913"/>
    <w:rsid w:val="7A634666"/>
    <w:rsid w:val="7A65F2C2"/>
    <w:rsid w:val="7A6A8316"/>
    <w:rsid w:val="7A758F94"/>
    <w:rsid w:val="7A796AB6"/>
    <w:rsid w:val="7A896AD5"/>
    <w:rsid w:val="7AA78A6F"/>
    <w:rsid w:val="7AAE6215"/>
    <w:rsid w:val="7AAE7952"/>
    <w:rsid w:val="7AB66D48"/>
    <w:rsid w:val="7AB68441"/>
    <w:rsid w:val="7AD94A2A"/>
    <w:rsid w:val="7ADE6DF6"/>
    <w:rsid w:val="7AF1A83E"/>
    <w:rsid w:val="7AF2403F"/>
    <w:rsid w:val="7AF9F399"/>
    <w:rsid w:val="7AFF364B"/>
    <w:rsid w:val="7B01E49E"/>
    <w:rsid w:val="7B090E29"/>
    <w:rsid w:val="7B0C9F6A"/>
    <w:rsid w:val="7B172321"/>
    <w:rsid w:val="7B1D595E"/>
    <w:rsid w:val="7B1EFEC3"/>
    <w:rsid w:val="7B25E0F7"/>
    <w:rsid w:val="7B2D5369"/>
    <w:rsid w:val="7B2DF81D"/>
    <w:rsid w:val="7B2E8232"/>
    <w:rsid w:val="7B38CFCE"/>
    <w:rsid w:val="7B398046"/>
    <w:rsid w:val="7B453A9F"/>
    <w:rsid w:val="7B4FF9E9"/>
    <w:rsid w:val="7B5A0FEE"/>
    <w:rsid w:val="7B5C419B"/>
    <w:rsid w:val="7B6C150E"/>
    <w:rsid w:val="7B7098BD"/>
    <w:rsid w:val="7B76610E"/>
    <w:rsid w:val="7B78D48B"/>
    <w:rsid w:val="7B83819B"/>
    <w:rsid w:val="7B864422"/>
    <w:rsid w:val="7B87D94E"/>
    <w:rsid w:val="7B8C150B"/>
    <w:rsid w:val="7B906BDA"/>
    <w:rsid w:val="7B9932DD"/>
    <w:rsid w:val="7B99857C"/>
    <w:rsid w:val="7B9C537D"/>
    <w:rsid w:val="7B9DD297"/>
    <w:rsid w:val="7BAA45C7"/>
    <w:rsid w:val="7BB8E925"/>
    <w:rsid w:val="7BBBE346"/>
    <w:rsid w:val="7BBC21B8"/>
    <w:rsid w:val="7BBD97B3"/>
    <w:rsid w:val="7BBDBB6F"/>
    <w:rsid w:val="7BBF1095"/>
    <w:rsid w:val="7BC11979"/>
    <w:rsid w:val="7BC54C30"/>
    <w:rsid w:val="7BC92DA9"/>
    <w:rsid w:val="7BCE6E6C"/>
    <w:rsid w:val="7BCFCD9D"/>
    <w:rsid w:val="7BD5D369"/>
    <w:rsid w:val="7BD72F4F"/>
    <w:rsid w:val="7BD88AA9"/>
    <w:rsid w:val="7BF20786"/>
    <w:rsid w:val="7BF5AA72"/>
    <w:rsid w:val="7BF9B3A5"/>
    <w:rsid w:val="7BFCC01E"/>
    <w:rsid w:val="7C01C6BA"/>
    <w:rsid w:val="7C0C2F39"/>
    <w:rsid w:val="7C0EC13F"/>
    <w:rsid w:val="7C0FD464"/>
    <w:rsid w:val="7C16B597"/>
    <w:rsid w:val="7C178EAD"/>
    <w:rsid w:val="7C19DAF5"/>
    <w:rsid w:val="7C1CCD6F"/>
    <w:rsid w:val="7C275726"/>
    <w:rsid w:val="7C2761DB"/>
    <w:rsid w:val="7C28B8E7"/>
    <w:rsid w:val="7C37534E"/>
    <w:rsid w:val="7C46BEFA"/>
    <w:rsid w:val="7C49C189"/>
    <w:rsid w:val="7C4DACAF"/>
    <w:rsid w:val="7C4DDB57"/>
    <w:rsid w:val="7C5EE9E7"/>
    <w:rsid w:val="7C5F7FC5"/>
    <w:rsid w:val="7C604015"/>
    <w:rsid w:val="7C6F526B"/>
    <w:rsid w:val="7C700C1D"/>
    <w:rsid w:val="7C7A3AF5"/>
    <w:rsid w:val="7CAFED4C"/>
    <w:rsid w:val="7CBBCCD8"/>
    <w:rsid w:val="7CC5588D"/>
    <w:rsid w:val="7CCD1247"/>
    <w:rsid w:val="7CD62FCD"/>
    <w:rsid w:val="7CD725DD"/>
    <w:rsid w:val="7CDB1B58"/>
    <w:rsid w:val="7CE5E2FE"/>
    <w:rsid w:val="7CEF1BDD"/>
    <w:rsid w:val="7CF69B76"/>
    <w:rsid w:val="7CFC75DF"/>
    <w:rsid w:val="7D0563BE"/>
    <w:rsid w:val="7D05EB83"/>
    <w:rsid w:val="7D075C35"/>
    <w:rsid w:val="7D08C652"/>
    <w:rsid w:val="7D0B3246"/>
    <w:rsid w:val="7D2E5E85"/>
    <w:rsid w:val="7D6359CB"/>
    <w:rsid w:val="7D6CFE9D"/>
    <w:rsid w:val="7D6D3502"/>
    <w:rsid w:val="7D702016"/>
    <w:rsid w:val="7D7247FE"/>
    <w:rsid w:val="7D732C33"/>
    <w:rsid w:val="7D798371"/>
    <w:rsid w:val="7D7D5AC2"/>
    <w:rsid w:val="7D8A7ED4"/>
    <w:rsid w:val="7D8C6CA8"/>
    <w:rsid w:val="7D9206B8"/>
    <w:rsid w:val="7D9B926D"/>
    <w:rsid w:val="7D9C6721"/>
    <w:rsid w:val="7DA1F6F9"/>
    <w:rsid w:val="7DB7AC53"/>
    <w:rsid w:val="7DB8B2EB"/>
    <w:rsid w:val="7DBAB9AF"/>
    <w:rsid w:val="7DBBEA9E"/>
    <w:rsid w:val="7DCD6E44"/>
    <w:rsid w:val="7DCD8A35"/>
    <w:rsid w:val="7DD3D7AF"/>
    <w:rsid w:val="7DD476F4"/>
    <w:rsid w:val="7DDA369D"/>
    <w:rsid w:val="7DDC0D2A"/>
    <w:rsid w:val="7DDC601C"/>
    <w:rsid w:val="7DE51957"/>
    <w:rsid w:val="7DF15C49"/>
    <w:rsid w:val="7DF870DB"/>
    <w:rsid w:val="7DFB0DB0"/>
    <w:rsid w:val="7DFD9F64"/>
    <w:rsid w:val="7E070528"/>
    <w:rsid w:val="7E08C656"/>
    <w:rsid w:val="7E19CAA3"/>
    <w:rsid w:val="7E1B439B"/>
    <w:rsid w:val="7E26E2E9"/>
    <w:rsid w:val="7E293D5C"/>
    <w:rsid w:val="7E2C58CD"/>
    <w:rsid w:val="7E30AA52"/>
    <w:rsid w:val="7E3716E2"/>
    <w:rsid w:val="7E38BA59"/>
    <w:rsid w:val="7E4736BA"/>
    <w:rsid w:val="7E4D920F"/>
    <w:rsid w:val="7E4DC6C9"/>
    <w:rsid w:val="7E654D71"/>
    <w:rsid w:val="7E6ADA4C"/>
    <w:rsid w:val="7E6E8404"/>
    <w:rsid w:val="7E74670D"/>
    <w:rsid w:val="7E934A58"/>
    <w:rsid w:val="7EA75E86"/>
    <w:rsid w:val="7EAD1FB3"/>
    <w:rsid w:val="7EAF9E6A"/>
    <w:rsid w:val="7EB4AE9B"/>
    <w:rsid w:val="7EB851D4"/>
    <w:rsid w:val="7EBDD2AC"/>
    <w:rsid w:val="7EC07021"/>
    <w:rsid w:val="7ED9DDF4"/>
    <w:rsid w:val="7EE1D996"/>
    <w:rsid w:val="7EE7BCCD"/>
    <w:rsid w:val="7EF0C8DB"/>
    <w:rsid w:val="7EF63494"/>
    <w:rsid w:val="7EFA850D"/>
    <w:rsid w:val="7F01B751"/>
    <w:rsid w:val="7F1585C5"/>
    <w:rsid w:val="7F16EA1A"/>
    <w:rsid w:val="7F17426B"/>
    <w:rsid w:val="7F177FFC"/>
    <w:rsid w:val="7F1A7133"/>
    <w:rsid w:val="7F250C1E"/>
    <w:rsid w:val="7F398C48"/>
    <w:rsid w:val="7F3BC55C"/>
    <w:rsid w:val="7F4213B8"/>
    <w:rsid w:val="7F55F497"/>
    <w:rsid w:val="7F5945D6"/>
    <w:rsid w:val="7F680722"/>
    <w:rsid w:val="7F6A5237"/>
    <w:rsid w:val="7F6E493E"/>
    <w:rsid w:val="7F7CF135"/>
    <w:rsid w:val="7F88FDCB"/>
    <w:rsid w:val="7F8C3BCE"/>
    <w:rsid w:val="7F8EE2EE"/>
    <w:rsid w:val="7F8F64D4"/>
    <w:rsid w:val="7F95E5C6"/>
    <w:rsid w:val="7FB27F2A"/>
    <w:rsid w:val="7FC0BB0C"/>
    <w:rsid w:val="7FCBA526"/>
    <w:rsid w:val="7FCBAB77"/>
    <w:rsid w:val="7FD5415A"/>
    <w:rsid w:val="7FDDA93A"/>
    <w:rsid w:val="7FE301BD"/>
    <w:rsid w:val="7FE8408C"/>
    <w:rsid w:val="7FE9972A"/>
    <w:rsid w:val="7FF0457A"/>
    <w:rsid w:val="7FFF50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3406AC5D"/>
  <w15:chartTrackingRefBased/>
  <w15:docId w15:val="{B3186DDA-291F-4C7F-A12F-1F72FD72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124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1F3F3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F3F35"/>
    <w:rPr>
      <w:rFonts w:ascii="Segoe UI" w:hAnsi="Segoe UI" w:cs="Segoe UI"/>
      <w:sz w:val="18"/>
      <w:szCs w:val="18"/>
    </w:rPr>
  </w:style>
  <w:style w:type="paragraph" w:styleId="NormaleWeb">
    <w:name w:val="Normal (Web)"/>
    <w:basedOn w:val="Normale"/>
    <w:uiPriority w:val="99"/>
    <w:unhideWhenUsed/>
    <w:rsid w:val="006F751D"/>
    <w:pPr>
      <w:spacing w:before="100" w:beforeAutospacing="1" w:after="100" w:afterAutospacing="1" w:line="240" w:lineRule="auto"/>
    </w:pPr>
    <w:rPr>
      <w:rFonts w:ascii="Times New Roman" w:eastAsiaTheme="minorEastAsia" w:hAnsi="Times New Roman" w:cs="Times New Roman"/>
      <w:sz w:val="24"/>
      <w:szCs w:val="24"/>
      <w:lang w:val="it-IT" w:eastAsia="it-IT"/>
    </w:rPr>
  </w:style>
  <w:style w:type="paragraph" w:styleId="Intestazione">
    <w:name w:val="header"/>
    <w:basedOn w:val="Normale"/>
    <w:link w:val="IntestazioneCarattere"/>
    <w:uiPriority w:val="99"/>
    <w:unhideWhenUsed/>
    <w:rsid w:val="006F751D"/>
    <w:pPr>
      <w:tabs>
        <w:tab w:val="center" w:pos="4819"/>
        <w:tab w:val="right" w:pos="9638"/>
      </w:tabs>
      <w:spacing w:after="0" w:line="240" w:lineRule="auto"/>
    </w:pPr>
    <w:rPr>
      <w:lang w:val="it-IT"/>
    </w:rPr>
  </w:style>
  <w:style w:type="character" w:customStyle="1" w:styleId="IntestazioneCarattere">
    <w:name w:val="Intestazione Carattere"/>
    <w:basedOn w:val="Carpredefinitoparagrafo"/>
    <w:link w:val="Intestazione"/>
    <w:uiPriority w:val="99"/>
    <w:rsid w:val="006F751D"/>
    <w:rPr>
      <w:lang w:val="it-IT"/>
    </w:rPr>
  </w:style>
  <w:style w:type="paragraph" w:styleId="Testonotadichiusura">
    <w:name w:val="endnote text"/>
    <w:basedOn w:val="Normale"/>
    <w:link w:val="TestonotadichiusuraCarattere"/>
    <w:uiPriority w:val="99"/>
    <w:unhideWhenUsed/>
    <w:rsid w:val="006F751D"/>
    <w:pPr>
      <w:spacing w:after="0" w:line="240" w:lineRule="auto"/>
    </w:pPr>
    <w:rPr>
      <w:sz w:val="20"/>
      <w:szCs w:val="20"/>
      <w:lang w:val="it-IT"/>
    </w:rPr>
  </w:style>
  <w:style w:type="character" w:customStyle="1" w:styleId="TestonotadichiusuraCarattere">
    <w:name w:val="Testo nota di chiusura Carattere"/>
    <w:basedOn w:val="Carpredefinitoparagrafo"/>
    <w:link w:val="Testonotadichiusura"/>
    <w:uiPriority w:val="99"/>
    <w:rsid w:val="006F751D"/>
    <w:rPr>
      <w:sz w:val="20"/>
      <w:szCs w:val="20"/>
      <w:lang w:val="it-IT"/>
    </w:rPr>
  </w:style>
  <w:style w:type="paragraph" w:styleId="Soggettocommento">
    <w:name w:val="annotation subject"/>
    <w:basedOn w:val="Testocommento"/>
    <w:next w:val="Testocommento"/>
    <w:link w:val="SoggettocommentoCarattere"/>
    <w:uiPriority w:val="99"/>
    <w:semiHidden/>
    <w:unhideWhenUsed/>
    <w:rsid w:val="006F751D"/>
    <w:rPr>
      <w:b/>
      <w:bCs/>
      <w:lang w:val="it-IT"/>
    </w:rPr>
  </w:style>
  <w:style w:type="character" w:customStyle="1" w:styleId="SoggettocommentoCarattere">
    <w:name w:val="Soggetto commento Carattere"/>
    <w:basedOn w:val="TestocommentoCarattere"/>
    <w:link w:val="Soggettocommento"/>
    <w:uiPriority w:val="99"/>
    <w:semiHidden/>
    <w:rsid w:val="006F751D"/>
    <w:rPr>
      <w:b/>
      <w:bCs/>
      <w:sz w:val="20"/>
      <w:szCs w:val="20"/>
      <w:lang w:val="it-IT"/>
    </w:rPr>
  </w:style>
  <w:style w:type="paragraph" w:styleId="Revisione">
    <w:name w:val="Revision"/>
    <w:hidden/>
    <w:uiPriority w:val="99"/>
    <w:semiHidden/>
    <w:rsid w:val="006F751D"/>
    <w:pPr>
      <w:spacing w:after="0" w:line="240" w:lineRule="auto"/>
    </w:pPr>
    <w:rPr>
      <w:lang w:val="it-IT"/>
    </w:rPr>
  </w:style>
  <w:style w:type="paragraph" w:styleId="Pidipagina">
    <w:name w:val="footer"/>
    <w:basedOn w:val="Normale"/>
    <w:link w:val="PidipaginaCarattere"/>
    <w:uiPriority w:val="99"/>
    <w:unhideWhenUsed/>
    <w:rsid w:val="00872C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2C2F"/>
  </w:style>
  <w:style w:type="character" w:styleId="Rimandonotadichiusura">
    <w:name w:val="endnote reference"/>
    <w:basedOn w:val="Carpredefinitoparagrafo"/>
    <w:uiPriority w:val="99"/>
    <w:semiHidden/>
    <w:unhideWhenUsed/>
    <w:rsid w:val="00D16A6A"/>
    <w:rPr>
      <w:vertAlign w:val="superscript"/>
    </w:rPr>
  </w:style>
  <w:style w:type="character" w:styleId="Collegamentoipertestuale">
    <w:name w:val="Hyperlink"/>
    <w:basedOn w:val="Carpredefinitoparagrafo"/>
    <w:uiPriority w:val="99"/>
    <w:unhideWhenUsed/>
    <w:rsid w:val="0081718E"/>
    <w:rPr>
      <w:color w:val="0563C1" w:themeColor="hyperlink"/>
      <w:u w:val="single"/>
    </w:rPr>
  </w:style>
  <w:style w:type="character" w:customStyle="1" w:styleId="Menzionenonrisolta1">
    <w:name w:val="Menzione non risolta1"/>
    <w:basedOn w:val="Carpredefinitoparagrafo"/>
    <w:uiPriority w:val="99"/>
    <w:semiHidden/>
    <w:unhideWhenUsed/>
    <w:rsid w:val="000E20EF"/>
    <w:rPr>
      <w:color w:val="605E5C"/>
      <w:shd w:val="clear" w:color="auto" w:fill="E1DFDD"/>
    </w:rPr>
  </w:style>
  <w:style w:type="paragraph" w:styleId="Paragrafoelenco">
    <w:name w:val="List Paragraph"/>
    <w:basedOn w:val="Normale"/>
    <w:uiPriority w:val="34"/>
    <w:qFormat/>
    <w:rsid w:val="00833144"/>
    <w:pPr>
      <w:ind w:left="720"/>
      <w:contextualSpacing/>
    </w:pPr>
    <w:rPr>
      <w:lang w:val="it-IT"/>
    </w:rPr>
  </w:style>
  <w:style w:type="character" w:customStyle="1" w:styleId="UnresolvedMention1">
    <w:name w:val="Unresolved Mention1"/>
    <w:basedOn w:val="Carpredefinitoparagrafo"/>
    <w:uiPriority w:val="99"/>
    <w:semiHidden/>
    <w:unhideWhenUsed/>
    <w:rsid w:val="009976B6"/>
    <w:rPr>
      <w:color w:val="605E5C"/>
      <w:shd w:val="clear" w:color="auto" w:fill="E1DFDD"/>
    </w:rPr>
  </w:style>
  <w:style w:type="character" w:customStyle="1" w:styleId="UnresolvedMention2">
    <w:name w:val="Unresolved Mention2"/>
    <w:basedOn w:val="Carpredefinitoparagrafo"/>
    <w:uiPriority w:val="99"/>
    <w:semiHidden/>
    <w:unhideWhenUsed/>
    <w:rsid w:val="000E3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86010">
      <w:bodyDiv w:val="1"/>
      <w:marLeft w:val="0"/>
      <w:marRight w:val="0"/>
      <w:marTop w:val="0"/>
      <w:marBottom w:val="0"/>
      <w:divBdr>
        <w:top w:val="none" w:sz="0" w:space="0" w:color="auto"/>
        <w:left w:val="none" w:sz="0" w:space="0" w:color="auto"/>
        <w:bottom w:val="none" w:sz="0" w:space="0" w:color="auto"/>
        <w:right w:val="none" w:sz="0" w:space="0" w:color="auto"/>
      </w:divBdr>
    </w:div>
    <w:div w:id="518324289">
      <w:bodyDiv w:val="1"/>
      <w:marLeft w:val="0"/>
      <w:marRight w:val="0"/>
      <w:marTop w:val="0"/>
      <w:marBottom w:val="0"/>
      <w:divBdr>
        <w:top w:val="none" w:sz="0" w:space="0" w:color="auto"/>
        <w:left w:val="none" w:sz="0" w:space="0" w:color="auto"/>
        <w:bottom w:val="none" w:sz="0" w:space="0" w:color="auto"/>
        <w:right w:val="none" w:sz="0" w:space="0" w:color="auto"/>
      </w:divBdr>
      <w:divsChild>
        <w:div w:id="1073043126">
          <w:marLeft w:val="360"/>
          <w:marRight w:val="0"/>
          <w:marTop w:val="200"/>
          <w:marBottom w:val="120"/>
          <w:divBdr>
            <w:top w:val="none" w:sz="0" w:space="0" w:color="auto"/>
            <w:left w:val="none" w:sz="0" w:space="0" w:color="auto"/>
            <w:bottom w:val="none" w:sz="0" w:space="0" w:color="auto"/>
            <w:right w:val="none" w:sz="0" w:space="0" w:color="auto"/>
          </w:divBdr>
        </w:div>
      </w:divsChild>
    </w:div>
    <w:div w:id="936206975">
      <w:bodyDiv w:val="1"/>
      <w:marLeft w:val="0"/>
      <w:marRight w:val="0"/>
      <w:marTop w:val="0"/>
      <w:marBottom w:val="0"/>
      <w:divBdr>
        <w:top w:val="none" w:sz="0" w:space="0" w:color="auto"/>
        <w:left w:val="none" w:sz="0" w:space="0" w:color="auto"/>
        <w:bottom w:val="none" w:sz="0" w:space="0" w:color="auto"/>
        <w:right w:val="none" w:sz="0" w:space="0" w:color="auto"/>
      </w:divBdr>
      <w:divsChild>
        <w:div w:id="631178105">
          <w:marLeft w:val="360"/>
          <w:marRight w:val="0"/>
          <w:marTop w:val="200"/>
          <w:marBottom w:val="120"/>
          <w:divBdr>
            <w:top w:val="none" w:sz="0" w:space="0" w:color="auto"/>
            <w:left w:val="none" w:sz="0" w:space="0" w:color="auto"/>
            <w:bottom w:val="none" w:sz="0" w:space="0" w:color="auto"/>
            <w:right w:val="none" w:sz="0" w:space="0" w:color="auto"/>
          </w:divBdr>
        </w:div>
        <w:div w:id="1275016655">
          <w:marLeft w:val="360"/>
          <w:marRight w:val="0"/>
          <w:marTop w:val="200"/>
          <w:marBottom w:val="120"/>
          <w:divBdr>
            <w:top w:val="none" w:sz="0" w:space="0" w:color="auto"/>
            <w:left w:val="none" w:sz="0" w:space="0" w:color="auto"/>
            <w:bottom w:val="none" w:sz="0" w:space="0" w:color="auto"/>
            <w:right w:val="none" w:sz="0" w:space="0" w:color="auto"/>
          </w:divBdr>
        </w:div>
      </w:divsChild>
    </w:div>
    <w:div w:id="1398745746">
      <w:bodyDiv w:val="1"/>
      <w:marLeft w:val="0"/>
      <w:marRight w:val="0"/>
      <w:marTop w:val="0"/>
      <w:marBottom w:val="0"/>
      <w:divBdr>
        <w:top w:val="none" w:sz="0" w:space="0" w:color="auto"/>
        <w:left w:val="none" w:sz="0" w:space="0" w:color="auto"/>
        <w:bottom w:val="none" w:sz="0" w:space="0" w:color="auto"/>
        <w:right w:val="none" w:sz="0" w:space="0" w:color="auto"/>
      </w:divBdr>
      <w:divsChild>
        <w:div w:id="2033993431">
          <w:marLeft w:val="360"/>
          <w:marRight w:val="0"/>
          <w:marTop w:val="20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5" Type="http://schemas.openxmlformats.org/officeDocument/2006/relationships/image" Target="media/image9.png"/><Relationship Id="rId33" Type="http://schemas.openxmlformats.org/officeDocument/2006/relationships/hyperlink" Target="https://www.epicentro.iss.it/coronavirus/bollettino/Bollettino-sorveglianza-integrata-COVID-19_29-settembre-2021.pdf"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29" Type="http://schemas.openxmlformats.org/officeDocument/2006/relationships/hyperlink" Target="https://www.epicentro.iss.it/vaccini/covid-19-report-valutazione-vaccinazione-archivi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hyperlink" Target="https://www.nature.com/articles/d41586-021-01696-3"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7.png"/><Relationship Id="rId28" Type="http://schemas.openxmlformats.org/officeDocument/2006/relationships/hyperlink" Target="https://www.iss.it/documents/20126/0/Bollettino+varianti+n.+9_17+settembre+2021.pdf/484b7aa2-2c0c-b109-4c31-087ed5c7b5af?t=1631890444760"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dati.istat.it/Index.aspx?DataSetCode=DCIS_MORTALITA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3.xml"/><Relationship Id="rId27" Type="http://schemas.openxmlformats.org/officeDocument/2006/relationships/image" Target="media/image11.png"/><Relationship Id="rId30" Type="http://schemas.openxmlformats.org/officeDocument/2006/relationships/hyperlink" Target="https://www.salute.gov.it/portale/vaccinazioni/dettaglioContenutiVaccinazioni.jsp?lingua=italiano&amp;id=5067&amp;area=vaccinazioni&amp;menu=vuoto"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253fb2c-0a8a-4170-a1e4-f00d5a1135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DD224B0EDAD614E90628F4A775A993B" ma:contentTypeVersion="14" ma:contentTypeDescription="Creare un nuovo documento." ma:contentTypeScope="" ma:versionID="c498686a86e7ef95ab8aadd8cfe0d254">
  <xsd:schema xmlns:xsd="http://www.w3.org/2001/XMLSchema" xmlns:xs="http://www.w3.org/2001/XMLSchema" xmlns:p="http://schemas.microsoft.com/office/2006/metadata/properties" xmlns:ns2="25c54569-3efc-4e4d-8ffe-1d97b30a5375" xmlns:ns3="d253fb2c-0a8a-4170-a1e4-f00d5a1135f4" targetNamespace="http://schemas.microsoft.com/office/2006/metadata/properties" ma:root="true" ma:fieldsID="c6cf8efaab1a7adf2b781559f7a771e9" ns2:_="" ns3:_="">
    <xsd:import namespace="25c54569-3efc-4e4d-8ffe-1d97b30a5375"/>
    <xsd:import namespace="d253fb2c-0a8a-4170-a1e4-f00d5a1135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54569-3efc-4e4d-8ffe-1d97b30a5375"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53fb2c-0a8a-4170-a1e4-f00d5a1135f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tato consenso" ma:internalName="Stato_x0020_consens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DF30A-DC1E-4A8C-9C51-0FD534696CFD}">
  <ds:schemaRefs>
    <ds:schemaRef ds:uri="http://schemas.microsoft.com/office/2006/documentManagement/types"/>
    <ds:schemaRef ds:uri="http://purl.org/dc/elements/1.1/"/>
    <ds:schemaRef ds:uri="http://www.w3.org/XML/1998/namespace"/>
    <ds:schemaRef ds:uri="25c54569-3efc-4e4d-8ffe-1d97b30a5375"/>
    <ds:schemaRef ds:uri="http://purl.org/dc/terms/"/>
    <ds:schemaRef ds:uri="http://purl.org/dc/dcmitype/"/>
    <ds:schemaRef ds:uri="http://schemas.microsoft.com/office/infopath/2007/PartnerControls"/>
    <ds:schemaRef ds:uri="http://schemas.openxmlformats.org/package/2006/metadata/core-properties"/>
    <ds:schemaRef ds:uri="d253fb2c-0a8a-4170-a1e4-f00d5a1135f4"/>
    <ds:schemaRef ds:uri="http://schemas.microsoft.com/office/2006/metadata/properties"/>
  </ds:schemaRefs>
</ds:datastoreItem>
</file>

<file path=customXml/itemProps2.xml><?xml version="1.0" encoding="utf-8"?>
<ds:datastoreItem xmlns:ds="http://schemas.openxmlformats.org/officeDocument/2006/customXml" ds:itemID="{4C003F77-0CCE-436A-B337-7E2FBCAAE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54569-3efc-4e4d-8ffe-1d97b30a5375"/>
    <ds:schemaRef ds:uri="d253fb2c-0a8a-4170-a1e4-f00d5a11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6D3384-5737-4625-A96F-06CD0CCA318C}">
  <ds:schemaRefs>
    <ds:schemaRef ds:uri="http://schemas.microsoft.com/sharepoint/v3/contenttype/forms"/>
  </ds:schemaRefs>
</ds:datastoreItem>
</file>

<file path=customXml/itemProps4.xml><?xml version="1.0" encoding="utf-8"?>
<ds:datastoreItem xmlns:ds="http://schemas.openxmlformats.org/officeDocument/2006/customXml" ds:itemID="{AAAB4061-369B-4F61-81CC-02C6B333D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23</Pages>
  <Words>6874</Words>
  <Characters>39188</Characters>
  <Application>Microsoft Office Word</Application>
  <DocSecurity>0</DocSecurity>
  <Lines>326</Lines>
  <Paragraphs>91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Mateo Urdiales Alberto</dc:creator>
  <cp:keywords/>
  <dc:description/>
  <cp:lastModifiedBy>DACAS</cp:lastModifiedBy>
  <cp:revision>6</cp:revision>
  <dcterms:created xsi:type="dcterms:W3CDTF">2021-09-27T15:02:00Z</dcterms:created>
  <dcterms:modified xsi:type="dcterms:W3CDTF">2021-10-12T16:31:00Z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0x010100BDD224B0EDAD614E90628F4A775A993B</vt:lpwstr>
  </property>
</Properties>
</file>